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DCF6C" w14:textId="77777777" w:rsidR="00C82917" w:rsidRPr="0012796F" w:rsidRDefault="00392DCA">
      <w:pPr>
        <w:pStyle w:val="Heading1"/>
        <w:rPr>
          <w:rFonts w:ascii="Arial" w:hAnsi="Arial" w:cs="Arial"/>
        </w:rPr>
      </w:pPr>
      <w:r w:rsidRPr="0012796F">
        <w:rPr>
          <w:rFonts w:ascii="Arial" w:hAnsi="Arial" w:cs="Arial"/>
        </w:rPr>
        <w:t>Review of Courts (Remote Participation) Act 2010</w:t>
      </w:r>
    </w:p>
    <w:p w14:paraId="6015B205" w14:textId="3F534918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br/>
        <w:t>https://consultations.justice.govt.nz/policy/review-of-courts-remote-participation-act</w:t>
      </w:r>
      <w:r w:rsidRPr="0012796F">
        <w:rPr>
          <w:rFonts w:cs="Arial"/>
        </w:rPr>
        <w:br/>
      </w:r>
    </w:p>
    <w:p w14:paraId="2CED3C45" w14:textId="0B6F86B7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>1: What are your views on including a purpose statement?</w:t>
      </w:r>
    </w:p>
    <w:p w14:paraId="40BB0BB5" w14:textId="58CDE834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 xml:space="preserve">2: What else, if anything, should be included in the purpose statement?  </w:t>
      </w:r>
    </w:p>
    <w:p w14:paraId="5ECBCDAA" w14:textId="6E51E862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>3: What are your views on including the Coroners Court within an Act? Do you have any other comments to make?</w:t>
      </w:r>
    </w:p>
    <w:p w14:paraId="08CABFF3" w14:textId="574CDB1B" w:rsidR="00CA3261" w:rsidRPr="0012796F" w:rsidRDefault="00392DCA" w:rsidP="00CA3261">
      <w:pPr>
        <w:rPr>
          <w:rFonts w:cs="Arial"/>
        </w:rPr>
      </w:pPr>
      <w:r w:rsidRPr="0012796F">
        <w:rPr>
          <w:rFonts w:cs="Arial"/>
        </w:rPr>
        <w:t>4: Do you think it is necessary to clarify that legislation governing remote participation covers remote observers, including victims, the media and the public?</w:t>
      </w:r>
    </w:p>
    <w:p w14:paraId="6EF79745" w14:textId="3A7E7D0A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 xml:space="preserve">5: If we formalise a remote observation framework in an Act, what else, if anything, should be included in the framework? </w:t>
      </w:r>
    </w:p>
    <w:p w14:paraId="077925EE" w14:textId="218FC77F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>6: What are your views on clarifying that members of the jury may only participate remotely together as a group?</w:t>
      </w:r>
    </w:p>
    <w:p w14:paraId="5F466F98" w14:textId="23E504F7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>7: What are your views on clarifying through legislation that fully remote hearings are enabled?</w:t>
      </w:r>
    </w:p>
    <w:p w14:paraId="2C340D76" w14:textId="77777777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>8: In what circumstances, if any, do you think fully remote hearings should be used?</w:t>
      </w:r>
    </w:p>
    <w:p w14:paraId="56C5D092" w14:textId="508FCC75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>9: What else, if anything, should be in a fully remote hearing framework?</w:t>
      </w:r>
    </w:p>
    <w:p w14:paraId="6D526F26" w14:textId="01B0C5C8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 xml:space="preserve">10: Do you think separate rules for AVL and AL (as is the case currently) are necessary? </w:t>
      </w:r>
      <w:r w:rsidRPr="0012796F">
        <w:rPr>
          <w:rFonts w:cs="Arial"/>
          <w:bCs/>
        </w:rPr>
        <w:t xml:space="preserve">Please explain </w:t>
      </w:r>
      <w:r w:rsidR="002222C5" w:rsidRPr="0012796F">
        <w:rPr>
          <w:rFonts w:cs="Arial"/>
          <w:bCs/>
        </w:rPr>
        <w:t>why.</w:t>
      </w:r>
    </w:p>
    <w:p w14:paraId="4E406372" w14:textId="5C4AE203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>11: If decision-makers were responsible for determining the appropriate ‘mode’ of participation, what would be the benefits and risks of this approach?</w:t>
      </w:r>
    </w:p>
    <w:p w14:paraId="67850626" w14:textId="1829FE7E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>12: What are your views on including an offence provision?</w:t>
      </w:r>
    </w:p>
    <w:p w14:paraId="5367A85B" w14:textId="617F4657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>13: Are there different ways to address the risks associated with unauthorised recordings of court proceedings?</w:t>
      </w:r>
    </w:p>
    <w:p w14:paraId="4AB29C20" w14:textId="77777777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>14: Do you agree with ensuring that the definition of “judicial officers” includes Family Court Associates?</w:t>
      </w:r>
    </w:p>
    <w:p w14:paraId="75A63789" w14:textId="77777777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>15: Do you think any other changes should be made to the scope of judicial officers’ and Registrars’ decision-making powers?</w:t>
      </w:r>
    </w:p>
    <w:p w14:paraId="29B953C8" w14:textId="286C3EB8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>16: Do you support revising the current criteria?</w:t>
      </w:r>
      <w:r w:rsidR="00CA3261" w:rsidRPr="0012796F">
        <w:rPr>
          <w:rFonts w:cs="Arial"/>
        </w:rPr>
        <w:t xml:space="preserve"> </w:t>
      </w:r>
      <w:r w:rsidRPr="0012796F">
        <w:rPr>
          <w:rFonts w:cs="Arial"/>
        </w:rPr>
        <w:t xml:space="preserve">Please explain </w:t>
      </w:r>
      <w:r w:rsidR="002222C5" w:rsidRPr="0012796F">
        <w:rPr>
          <w:rFonts w:cs="Arial"/>
        </w:rPr>
        <w:t>why.</w:t>
      </w:r>
    </w:p>
    <w:p w14:paraId="338D0EC0" w14:textId="7B94DF26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lastRenderedPageBreak/>
        <w:t>17: If you support streamlining the criteria, do you prefer Option 1 or Option 2?</w:t>
      </w:r>
      <w:r w:rsidR="00CA3261" w:rsidRPr="0012796F">
        <w:rPr>
          <w:rFonts w:cs="Arial"/>
        </w:rPr>
        <w:t xml:space="preserve"> </w:t>
      </w:r>
      <w:r w:rsidRPr="0012796F">
        <w:rPr>
          <w:rFonts w:cs="Arial"/>
        </w:rPr>
        <w:t xml:space="preserve">Please explain </w:t>
      </w:r>
      <w:r w:rsidR="002222C5" w:rsidRPr="0012796F">
        <w:rPr>
          <w:rFonts w:cs="Arial"/>
        </w:rPr>
        <w:t>why.</w:t>
      </w:r>
    </w:p>
    <w:p w14:paraId="70EDDE42" w14:textId="5B78D1AC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 xml:space="preserve">18: Are there other factors you think decision-makers should consider that we have missed? </w:t>
      </w:r>
    </w:p>
    <w:p w14:paraId="6A1E7C08" w14:textId="4981EBB8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 xml:space="preserve">19: Do you think detailed rules and expectations should remain in an Act? </w:t>
      </w:r>
      <w:r w:rsidR="00CA3261" w:rsidRPr="0012796F">
        <w:rPr>
          <w:rFonts w:cs="Arial"/>
        </w:rPr>
        <w:t xml:space="preserve">Please explain </w:t>
      </w:r>
      <w:r w:rsidR="002222C5" w:rsidRPr="0012796F">
        <w:rPr>
          <w:rFonts w:cs="Arial"/>
        </w:rPr>
        <w:t>why.</w:t>
      </w:r>
    </w:p>
    <w:p w14:paraId="2E892ABB" w14:textId="7DA92034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 xml:space="preserve">20: If you do not think detailed rules should be in an Act, do you think detailed rules on when to use remote participation should be </w:t>
      </w:r>
    </w:p>
    <w:p w14:paraId="6C2AA07C" w14:textId="7E73CF0F" w:rsidR="00CA3261" w:rsidRPr="0012796F" w:rsidRDefault="00CA3261" w:rsidP="0012796F">
      <w:pPr>
        <w:pStyle w:val="ListParagraph"/>
        <w:numPr>
          <w:ilvl w:val="0"/>
          <w:numId w:val="13"/>
        </w:numPr>
        <w:rPr>
          <w:rFonts w:cs="Arial"/>
        </w:rPr>
      </w:pPr>
      <w:r w:rsidRPr="0012796F">
        <w:rPr>
          <w:rFonts w:cs="Arial"/>
        </w:rPr>
        <w:t>Established through Court Rules</w:t>
      </w:r>
    </w:p>
    <w:p w14:paraId="6D685B60" w14:textId="0BECBC9E" w:rsidR="00CA3261" w:rsidRPr="0012796F" w:rsidRDefault="00CA3261" w:rsidP="0012796F">
      <w:pPr>
        <w:pStyle w:val="ListParagraph"/>
        <w:numPr>
          <w:ilvl w:val="0"/>
          <w:numId w:val="13"/>
        </w:numPr>
        <w:rPr>
          <w:rFonts w:cs="Arial"/>
        </w:rPr>
      </w:pPr>
      <w:r w:rsidRPr="0012796F">
        <w:rPr>
          <w:rFonts w:cs="Arial"/>
        </w:rPr>
        <w:t>Left to the judiciary to issue guidance through Judicial Protocols</w:t>
      </w:r>
    </w:p>
    <w:p w14:paraId="465C3305" w14:textId="7D054DA0" w:rsidR="00CA3261" w:rsidRPr="0012796F" w:rsidRDefault="00CA3261" w:rsidP="0012796F">
      <w:pPr>
        <w:pStyle w:val="ListParagraph"/>
        <w:numPr>
          <w:ilvl w:val="0"/>
          <w:numId w:val="13"/>
        </w:numPr>
        <w:rPr>
          <w:rFonts w:cs="Arial"/>
        </w:rPr>
      </w:pPr>
      <w:r w:rsidRPr="0012796F">
        <w:rPr>
          <w:rFonts w:cs="Arial"/>
        </w:rPr>
        <w:t>Unsure</w:t>
      </w:r>
    </w:p>
    <w:p w14:paraId="51A6EC7A" w14:textId="1CDBD589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 xml:space="preserve">21: If detailed rules are set in court rules or Judicial Protocols, would a purpose statement in legislation and statutory criteria provide sufficient policy direction to court participants and decision makers? </w:t>
      </w:r>
      <w:r w:rsidR="00CA3261" w:rsidRPr="0012796F">
        <w:rPr>
          <w:rFonts w:cs="Arial"/>
        </w:rPr>
        <w:t>Would anything else be needed?</w:t>
      </w:r>
    </w:p>
    <w:p w14:paraId="57FA6F05" w14:textId="389BA83C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>22: Do you support increasing expectations on the courts to make greater use of remote participation in civil proceedings?</w:t>
      </w:r>
    </w:p>
    <w:p w14:paraId="14E044FC" w14:textId="4EE7A146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>23: What benefits and risks to court users would there be if more civil hearings occurred remotely?</w:t>
      </w:r>
    </w:p>
    <w:p w14:paraId="1D579010" w14:textId="57511748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 xml:space="preserve">24: Which of the options above for encouraging more remote participation in civil proceedings do you prefer? </w:t>
      </w:r>
      <w:r w:rsidR="00CA3261" w:rsidRPr="0012796F">
        <w:rPr>
          <w:rFonts w:cs="Arial"/>
        </w:rPr>
        <w:t xml:space="preserve">Please explain </w:t>
      </w:r>
      <w:r w:rsidR="002222C5" w:rsidRPr="0012796F">
        <w:rPr>
          <w:rFonts w:cs="Arial"/>
        </w:rPr>
        <w:t>why.</w:t>
      </w:r>
    </w:p>
    <w:p w14:paraId="433E6C6F" w14:textId="77777777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 xml:space="preserve">25: If you support a legislative presumption in favour of remote participation for civil proceedings (option 3), do you think it should apply to: </w:t>
      </w:r>
    </w:p>
    <w:p w14:paraId="11140F42" w14:textId="245C5ED4" w:rsidR="00CA3261" w:rsidRPr="0012796F" w:rsidRDefault="00CA3261" w:rsidP="00CA3261">
      <w:pPr>
        <w:pStyle w:val="ListParagraph"/>
        <w:numPr>
          <w:ilvl w:val="0"/>
          <w:numId w:val="12"/>
        </w:numPr>
        <w:rPr>
          <w:rFonts w:cs="Arial"/>
        </w:rPr>
      </w:pPr>
      <w:r w:rsidRPr="0012796F">
        <w:rPr>
          <w:rFonts w:cs="Arial"/>
        </w:rPr>
        <w:t>Proceedings in the Family Court</w:t>
      </w:r>
    </w:p>
    <w:p w14:paraId="775BB2E7" w14:textId="308B09EA" w:rsidR="00CA3261" w:rsidRPr="0012796F" w:rsidRDefault="00CA3261" w:rsidP="00CA3261">
      <w:pPr>
        <w:pStyle w:val="ListParagraph"/>
        <w:numPr>
          <w:ilvl w:val="0"/>
          <w:numId w:val="12"/>
        </w:numPr>
        <w:rPr>
          <w:rFonts w:cs="Arial"/>
        </w:rPr>
      </w:pPr>
      <w:r w:rsidRPr="0012796F">
        <w:rPr>
          <w:rFonts w:cs="Arial"/>
        </w:rPr>
        <w:t>Compulsory care proceedings</w:t>
      </w:r>
    </w:p>
    <w:p w14:paraId="0E4C359B" w14:textId="24034367" w:rsidR="00CA3261" w:rsidRPr="0012796F" w:rsidRDefault="00CA3261" w:rsidP="00CA3261">
      <w:pPr>
        <w:pStyle w:val="ListParagraph"/>
        <w:numPr>
          <w:ilvl w:val="0"/>
          <w:numId w:val="12"/>
        </w:numPr>
        <w:rPr>
          <w:rFonts w:cs="Arial"/>
        </w:rPr>
      </w:pPr>
      <w:r w:rsidRPr="0012796F">
        <w:rPr>
          <w:rFonts w:cs="Arial"/>
        </w:rPr>
        <w:t>Coronial inquest hearings</w:t>
      </w:r>
    </w:p>
    <w:p w14:paraId="4F2C2456" w14:textId="112F88A7" w:rsidR="00CA3261" w:rsidRPr="0012796F" w:rsidRDefault="00CA3261" w:rsidP="00CA3261">
      <w:pPr>
        <w:pStyle w:val="ListParagraph"/>
        <w:numPr>
          <w:ilvl w:val="0"/>
          <w:numId w:val="12"/>
        </w:numPr>
        <w:rPr>
          <w:rFonts w:cs="Arial"/>
        </w:rPr>
      </w:pPr>
      <w:r w:rsidRPr="0012796F">
        <w:rPr>
          <w:rFonts w:cs="Arial"/>
        </w:rPr>
        <w:t>Specialist courts</w:t>
      </w:r>
    </w:p>
    <w:p w14:paraId="20BAAFFE" w14:textId="4B6AEC6C" w:rsidR="00CA3261" w:rsidRPr="0012796F" w:rsidRDefault="00CA3261" w:rsidP="00CA3261">
      <w:pPr>
        <w:pStyle w:val="ListParagraph"/>
        <w:numPr>
          <w:ilvl w:val="0"/>
          <w:numId w:val="12"/>
        </w:numPr>
        <w:rPr>
          <w:rFonts w:cs="Arial"/>
        </w:rPr>
      </w:pPr>
      <w:r w:rsidRPr="0012796F">
        <w:rPr>
          <w:rFonts w:cs="Arial"/>
        </w:rPr>
        <w:t>Only to certain court matters or types of matters</w:t>
      </w:r>
    </w:p>
    <w:p w14:paraId="7D8BEDCE" w14:textId="63C3C87D" w:rsidR="00CA3261" w:rsidRPr="0012796F" w:rsidRDefault="00CA3261" w:rsidP="00CA3261">
      <w:pPr>
        <w:pStyle w:val="ListParagraph"/>
        <w:numPr>
          <w:ilvl w:val="0"/>
          <w:numId w:val="12"/>
        </w:numPr>
        <w:rPr>
          <w:rFonts w:cs="Arial"/>
        </w:rPr>
      </w:pPr>
      <w:r w:rsidRPr="0012796F">
        <w:rPr>
          <w:rFonts w:cs="Arial"/>
        </w:rPr>
        <w:t>None of the above/unsure</w:t>
      </w:r>
    </w:p>
    <w:p w14:paraId="56BB780B" w14:textId="10AA6FA5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>If you think it should apply only to certain court matters or types of matter, how should these be defined (e.g. by ‘event’ type or by characteristic)?</w:t>
      </w:r>
    </w:p>
    <w:p w14:paraId="38567A37" w14:textId="661F2D81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 xml:space="preserve">26: Do you have any different ideas for increasing expectations on the court to hold more remote hearings in civil proceedings? </w:t>
      </w:r>
    </w:p>
    <w:p w14:paraId="689B507E" w14:textId="77777777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>27: What are your views on clarifying that AVL may be used in a sentencing hearing where the participant is not in custody?</w:t>
      </w:r>
    </w:p>
    <w:p w14:paraId="565E95E2" w14:textId="40ACD625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lastRenderedPageBreak/>
        <w:t>28: What benefits and risks would there be for court users if more AVL is used in sentencing matters?</w:t>
      </w:r>
    </w:p>
    <w:p w14:paraId="0A3768DD" w14:textId="58C71AE4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 xml:space="preserve">29: How might we address the practical difficulties associated with sentencing defendants/offenders remotely? </w:t>
      </w:r>
    </w:p>
    <w:p w14:paraId="08829A26" w14:textId="0E23A1F2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 xml:space="preserve">30: Do you support entitling court participants (defendants who are not in custody and lawyers) to attend criminal procedural matters remotely on request? </w:t>
      </w:r>
      <w:r w:rsidRPr="0012796F">
        <w:rPr>
          <w:rFonts w:cs="Arial"/>
          <w:bCs/>
        </w:rPr>
        <w:t xml:space="preserve">Please explain </w:t>
      </w:r>
      <w:r w:rsidR="002222C5" w:rsidRPr="0012796F">
        <w:rPr>
          <w:rFonts w:cs="Arial"/>
          <w:bCs/>
        </w:rPr>
        <w:t>why.</w:t>
      </w:r>
    </w:p>
    <w:p w14:paraId="1D94E88D" w14:textId="070C2194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>31: Do you think such an entitlement should allow participants to request participation by AL or should it be limited to AVL?</w:t>
      </w:r>
      <w:r w:rsidR="00CA3261" w:rsidRPr="0012796F">
        <w:rPr>
          <w:rFonts w:cs="Arial"/>
        </w:rPr>
        <w:t xml:space="preserve"> </w:t>
      </w:r>
      <w:r w:rsidRPr="0012796F">
        <w:rPr>
          <w:rFonts w:cs="Arial"/>
          <w:bCs/>
        </w:rPr>
        <w:t xml:space="preserve">Please explain </w:t>
      </w:r>
      <w:r w:rsidR="002222C5" w:rsidRPr="0012796F">
        <w:rPr>
          <w:rFonts w:cs="Arial"/>
          <w:bCs/>
        </w:rPr>
        <w:t>why.</w:t>
      </w:r>
    </w:p>
    <w:p w14:paraId="74AA39FE" w14:textId="77777777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 xml:space="preserve">32: What benefits and risks would there be for court users if this entitlement was introduced? </w:t>
      </w:r>
    </w:p>
    <w:p w14:paraId="5C9724EE" w14:textId="4B820DC1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>33: Do you have any different ideas for increasing use of remote participation in criminal procedural matters?</w:t>
      </w:r>
    </w:p>
    <w:p w14:paraId="0C266B1F" w14:textId="4EDF3382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 xml:space="preserve">34: Do you agree there is a problem with how the current Act defines criminal procedural matters and criminal substantive matters? </w:t>
      </w:r>
      <w:r w:rsidRPr="0012796F">
        <w:rPr>
          <w:rFonts w:cs="Arial"/>
          <w:bCs/>
        </w:rPr>
        <w:t xml:space="preserve">Please explain </w:t>
      </w:r>
      <w:r w:rsidR="002222C5" w:rsidRPr="0012796F">
        <w:rPr>
          <w:rFonts w:cs="Arial"/>
          <w:bCs/>
        </w:rPr>
        <w:t>why.</w:t>
      </w:r>
    </w:p>
    <w:p w14:paraId="772029DB" w14:textId="68862EE3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>35: Do you think categorising by “significance” of the matter could address the problem?</w:t>
      </w:r>
      <w:r w:rsidR="00CA3261" w:rsidRPr="0012796F">
        <w:rPr>
          <w:rFonts w:cs="Arial"/>
        </w:rPr>
        <w:t xml:space="preserve"> </w:t>
      </w:r>
      <w:r w:rsidRPr="0012796F">
        <w:rPr>
          <w:rFonts w:cs="Arial"/>
          <w:bCs/>
        </w:rPr>
        <w:t xml:space="preserve">Please explain </w:t>
      </w:r>
      <w:r w:rsidR="002222C5" w:rsidRPr="0012796F">
        <w:rPr>
          <w:rFonts w:cs="Arial"/>
          <w:bCs/>
        </w:rPr>
        <w:t>why.</w:t>
      </w:r>
    </w:p>
    <w:p w14:paraId="27F2B4AA" w14:textId="77777777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>36: If you answered 'yes', what are your views on linking significance to whether the matter determines the pathway of the case or progresses it from one stage to another?</w:t>
      </w:r>
    </w:p>
    <w:p w14:paraId="6C697EFC" w14:textId="08BCE949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 xml:space="preserve">37: Do you have any alternative ideas for defining and/or grouping criminal matters? </w:t>
      </w:r>
    </w:p>
    <w:p w14:paraId="107E52BC" w14:textId="5756882B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>38: What is your name?</w:t>
      </w:r>
    </w:p>
    <w:p w14:paraId="507348C4" w14:textId="2DB2B868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>39: What is your email address?</w:t>
      </w:r>
    </w:p>
    <w:p w14:paraId="3C14EDB8" w14:textId="3C593F01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>40: What is your organisation?</w:t>
      </w:r>
    </w:p>
    <w:p w14:paraId="1302F472" w14:textId="46D2DF4E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>41: If you do not want information in your feedback to be released, please state this clearly and explain why</w:t>
      </w:r>
    </w:p>
    <w:p w14:paraId="15D3317B" w14:textId="233D3264" w:rsidR="00C82917" w:rsidRPr="0012796F" w:rsidRDefault="00392DCA" w:rsidP="00CA3261">
      <w:pPr>
        <w:rPr>
          <w:rFonts w:cs="Arial"/>
        </w:rPr>
      </w:pPr>
      <w:r w:rsidRPr="0012796F">
        <w:rPr>
          <w:rFonts w:cs="Arial"/>
        </w:rPr>
        <w:t>42: Do you have any other comments or feedback?</w:t>
      </w:r>
    </w:p>
    <w:p w14:paraId="621E07F5" w14:textId="77777777" w:rsidR="00C82917" w:rsidRPr="0012796F" w:rsidRDefault="00C82917" w:rsidP="00CA3261">
      <w:pPr>
        <w:rPr>
          <w:rFonts w:cs="Arial"/>
        </w:rPr>
      </w:pPr>
    </w:p>
    <w:sectPr w:rsidR="00C82917" w:rsidRPr="0012796F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1A09" w14:textId="77777777" w:rsidR="00EE6D97" w:rsidRDefault="00EE6D97">
      <w:pPr>
        <w:spacing w:after="0" w:line="240" w:lineRule="auto"/>
      </w:pPr>
      <w:r>
        <w:separator/>
      </w:r>
    </w:p>
  </w:endnote>
  <w:endnote w:type="continuationSeparator" w:id="0">
    <w:p w14:paraId="66A56BEF" w14:textId="77777777" w:rsidR="00EE6D97" w:rsidRDefault="00EE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C11BF" w14:textId="77777777" w:rsidR="00EE6D97" w:rsidRDefault="00EE6D97">
      <w:pPr>
        <w:spacing w:after="0" w:line="240" w:lineRule="auto"/>
      </w:pPr>
      <w:r>
        <w:separator/>
      </w:r>
    </w:p>
  </w:footnote>
  <w:footnote w:type="continuationSeparator" w:id="0">
    <w:p w14:paraId="5D1AC436" w14:textId="77777777" w:rsidR="00EE6D97" w:rsidRDefault="00EE6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0213" w14:textId="77777777" w:rsidR="00C82917" w:rsidRDefault="00392DCA">
    <w:pPr>
      <w:pStyle w:val="Header"/>
    </w:pPr>
    <w:r>
      <w:t>Ministry of Justice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D81591"/>
    <w:multiLevelType w:val="hybridMultilevel"/>
    <w:tmpl w:val="40849BDE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46221"/>
    <w:multiLevelType w:val="hybridMultilevel"/>
    <w:tmpl w:val="AF9C90B0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C687F"/>
    <w:multiLevelType w:val="hybridMultilevel"/>
    <w:tmpl w:val="340299FC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E3179"/>
    <w:multiLevelType w:val="hybridMultilevel"/>
    <w:tmpl w:val="798429E4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967008">
    <w:abstractNumId w:val="8"/>
  </w:num>
  <w:num w:numId="2" w16cid:durableId="1852064439">
    <w:abstractNumId w:val="6"/>
  </w:num>
  <w:num w:numId="3" w16cid:durableId="39062831">
    <w:abstractNumId w:val="5"/>
  </w:num>
  <w:num w:numId="4" w16cid:durableId="187456028">
    <w:abstractNumId w:val="4"/>
  </w:num>
  <w:num w:numId="5" w16cid:durableId="1445810915">
    <w:abstractNumId w:val="7"/>
  </w:num>
  <w:num w:numId="6" w16cid:durableId="2020427892">
    <w:abstractNumId w:val="3"/>
  </w:num>
  <w:num w:numId="7" w16cid:durableId="260190194">
    <w:abstractNumId w:val="2"/>
  </w:num>
  <w:num w:numId="8" w16cid:durableId="375085223">
    <w:abstractNumId w:val="1"/>
  </w:num>
  <w:num w:numId="9" w16cid:durableId="1685745867">
    <w:abstractNumId w:val="0"/>
  </w:num>
  <w:num w:numId="10" w16cid:durableId="1648968768">
    <w:abstractNumId w:val="10"/>
  </w:num>
  <w:num w:numId="11" w16cid:durableId="195895437">
    <w:abstractNumId w:val="9"/>
  </w:num>
  <w:num w:numId="12" w16cid:durableId="919632311">
    <w:abstractNumId w:val="11"/>
  </w:num>
  <w:num w:numId="13" w16cid:durableId="7285003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796F"/>
    <w:rsid w:val="0015074B"/>
    <w:rsid w:val="002222C5"/>
    <w:rsid w:val="0029639D"/>
    <w:rsid w:val="00326F90"/>
    <w:rsid w:val="00392DCA"/>
    <w:rsid w:val="00AA1D8D"/>
    <w:rsid w:val="00B03E1E"/>
    <w:rsid w:val="00B47730"/>
    <w:rsid w:val="00C82917"/>
    <w:rsid w:val="00CA3261"/>
    <w:rsid w:val="00CB0664"/>
    <w:rsid w:val="00CC6CB1"/>
    <w:rsid w:val="00EE6D9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C4F8A9"/>
  <w14:defaultImageDpi w14:val="300"/>
  <w15:docId w15:val="{51114C10-9DE3-4F83-8E0E-3EF57A59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Sellwood, Rebecca</cp:lastModifiedBy>
  <cp:revision>4</cp:revision>
  <dcterms:created xsi:type="dcterms:W3CDTF">2024-11-27T22:55:00Z</dcterms:created>
  <dcterms:modified xsi:type="dcterms:W3CDTF">2024-11-27T22:56:00Z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606465750</vt:i4>
  </property>
  <property fmtid="{D5CDD505-2E9C-101B-9397-08002B2CF9AE}" pid="3" name="_NewReviewCycle">
    <vt:lpwstr/>
  </property>
  <property fmtid="{D5CDD505-2E9C-101B-9397-08002B2CF9AE}" pid="4" name="_EmailSubject">
    <vt:lpwstr>Review of the Courts (Remote Participation) Act 2010 - Ministry comms</vt:lpwstr>
  </property>
  <property fmtid="{D5CDD505-2E9C-101B-9397-08002B2CF9AE}" pid="5" name="_AuthorEmail">
    <vt:lpwstr>Jemma.McClymont@justice.govt.nz</vt:lpwstr>
  </property>
  <property fmtid="{D5CDD505-2E9C-101B-9397-08002B2CF9AE}" pid="6" name="_AuthorEmailDisplayName">
    <vt:lpwstr>McClymont, Jemma</vt:lpwstr>
  </property>
  <property fmtid="{D5CDD505-2E9C-101B-9397-08002B2CF9AE}" pid="7" name="_PreviousAdHocReviewCycleID">
    <vt:i4>591345809</vt:i4>
  </property>
</Properties>
</file>