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1F42" w14:textId="77777777" w:rsidR="009210F2" w:rsidRDefault="005C23BA" w:rsidP="009210F2">
      <w:pPr>
        <w:pStyle w:val="FactsheetContentHeading"/>
        <w:rPr>
          <w:rFonts w:ascii="Arial Black" w:hAnsi="Arial Black"/>
        </w:rPr>
      </w:pPr>
      <w:r>
        <w:rPr>
          <w:noProof/>
        </w:rPr>
        <mc:AlternateContent>
          <mc:Choice Requires="wps">
            <w:drawing>
              <wp:anchor distT="0" distB="0" distL="114300" distR="114300" simplePos="0" relativeHeight="251671552" behindDoc="0" locked="0" layoutInCell="1" allowOverlap="1" wp14:anchorId="5555BD2C" wp14:editId="55945239">
                <wp:simplePos x="0" y="0"/>
                <wp:positionH relativeFrom="margin">
                  <wp:posOffset>31114</wp:posOffset>
                </wp:positionH>
                <wp:positionV relativeFrom="paragraph">
                  <wp:posOffset>-622300</wp:posOffset>
                </wp:positionV>
                <wp:extent cx="6619875" cy="1304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9875" cy="1304925"/>
                        </a:xfrm>
                        <a:prstGeom prst="rect">
                          <a:avLst/>
                        </a:prstGeom>
                        <a:noFill/>
                        <a:ln w="6350">
                          <a:noFill/>
                        </a:ln>
                      </wps:spPr>
                      <wps:txbx>
                        <w:txbxContent>
                          <w:p w14:paraId="3A10588F" w14:textId="3FD28423" w:rsidR="00F041BA" w:rsidRDefault="000F3150" w:rsidP="000F3150">
                            <w:pPr>
                              <w:pStyle w:val="Factsheetheading"/>
                            </w:pPr>
                            <w:r>
                              <w:t xml:space="preserve">Summary of the Interpreter Services </w:t>
                            </w:r>
                            <w:r w:rsidR="005E59FD">
                              <w:t xml:space="preserve">Quality </w:t>
                            </w:r>
                            <w:r>
                              <w:t>fra</w:t>
                            </w:r>
                            <w:r w:rsidR="005E59FD">
                              <w:t xml:space="preserve">mework </w:t>
                            </w:r>
                          </w:p>
                          <w:p w14:paraId="14F5F48A" w14:textId="77777777" w:rsidR="00060200" w:rsidRPr="005C23BA" w:rsidRDefault="00060200" w:rsidP="00F041BA">
                            <w:pPr>
                              <w:pStyle w:val="Factsheetheading"/>
                            </w:pPr>
                          </w:p>
                          <w:p w14:paraId="5AFEF0AF" w14:textId="77777777" w:rsidR="00F041BA" w:rsidRDefault="00F04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5BD2C" id="_x0000_t202" coordsize="21600,21600" o:spt="202" path="m,l,21600r21600,l21600,xe">
                <v:stroke joinstyle="miter"/>
                <v:path gradientshapeok="t" o:connecttype="rect"/>
              </v:shapetype>
              <v:shape id="Text Box 7" o:spid="_x0000_s1026" type="#_x0000_t202" style="position:absolute;margin-left:2.45pt;margin-top:-49pt;width:521.25pt;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" filled="f" stroked="f" strokeweight=".5pt">
                <v:textbox>
                  <w:txbxContent>
                    <w:p w14:paraId="3A10588F" w14:textId="3FD28423" w:rsidR="00F041BA" w:rsidRDefault="000F3150" w:rsidP="000F3150">
                      <w:pPr>
                        <w:pStyle w:val="Factsheetheading"/>
                      </w:pPr>
                      <w:r>
                        <w:t xml:space="preserve">Summary of the Interpreter Services </w:t>
                      </w:r>
                      <w:r w:rsidR="005E59FD">
                        <w:t xml:space="preserve">Quality </w:t>
                      </w:r>
                      <w:r>
                        <w:t>fra</w:t>
                      </w:r>
                      <w:r w:rsidR="005E59FD">
                        <w:t xml:space="preserve">mework </w:t>
                      </w:r>
                    </w:p>
                    <w:p w14:paraId="14F5F48A" w14:textId="77777777" w:rsidR="00060200" w:rsidRPr="005C23BA" w:rsidRDefault="00060200" w:rsidP="00F041BA">
                      <w:pPr>
                        <w:pStyle w:val="Factsheetheading"/>
                      </w:pPr>
                    </w:p>
                    <w:p w14:paraId="5AFEF0AF" w14:textId="77777777" w:rsidR="00F041BA" w:rsidRDefault="00F041BA"/>
                  </w:txbxContent>
                </v:textbox>
                <w10:wrap anchorx="margin"/>
              </v:shape>
            </w:pict>
          </mc:Fallback>
        </mc:AlternateContent>
      </w:r>
    </w:p>
    <w:p w14:paraId="10B8EC97" w14:textId="6AB24C81" w:rsidR="005C23BA" w:rsidRDefault="005C23BA" w:rsidP="009210F2">
      <w:pPr>
        <w:pStyle w:val="FactsheetContentHeading"/>
        <w:rPr>
          <w:rFonts w:ascii="Arial Black" w:hAnsi="Arial Black"/>
        </w:rPr>
      </w:pPr>
    </w:p>
    <w:p w14:paraId="552DDA66" w14:textId="77777777" w:rsidR="00A2665A" w:rsidRDefault="00A2665A" w:rsidP="009210F2">
      <w:pPr>
        <w:pStyle w:val="FactsheetContentHeading"/>
        <w:rPr>
          <w:rFonts w:ascii="Arial Black" w:hAnsi="Arial Black"/>
        </w:rPr>
      </w:pPr>
    </w:p>
    <w:p w14:paraId="2815DCEF" w14:textId="77777777" w:rsidR="005C23BA" w:rsidRDefault="005C23BA" w:rsidP="009210F2">
      <w:pPr>
        <w:pStyle w:val="FactsheetContentHeading"/>
        <w:rPr>
          <w:rFonts w:cs="Arial"/>
        </w:rPr>
      </w:pPr>
    </w:p>
    <w:p w14:paraId="21590685" w14:textId="338FA0BA" w:rsidR="00A2665A" w:rsidRPr="00A2665A" w:rsidRDefault="00A2665A" w:rsidP="009210F2">
      <w:pPr>
        <w:pStyle w:val="FactsheetContentHeading"/>
        <w:rPr>
          <w:rFonts w:cs="Arial"/>
          <w:b w:val="0"/>
          <w:bCs/>
        </w:rPr>
        <w:sectPr w:rsidR="00A2665A" w:rsidRPr="00A2665A" w:rsidSect="00A2665A">
          <w:headerReference w:type="default" r:id="rId8"/>
          <w:footerReference w:type="default" r:id="rId9"/>
          <w:headerReference w:type="first" r:id="rId10"/>
          <w:footerReference w:type="first" r:id="rId11"/>
          <w:type w:val="continuous"/>
          <w:pgSz w:w="11906" w:h="16838"/>
          <w:pgMar w:top="1985" w:right="1133" w:bottom="1440" w:left="851" w:header="1134" w:footer="567" w:gutter="0"/>
          <w:cols w:num="2" w:space="708"/>
          <w:titlePg/>
          <w:docGrid w:linePitch="360"/>
        </w:sectPr>
      </w:pPr>
    </w:p>
    <w:p w14:paraId="01C79425" w14:textId="32EB63ED" w:rsidR="000A4C06" w:rsidRPr="000A4C06" w:rsidRDefault="00FF6130" w:rsidP="009972AA">
      <w:pPr>
        <w:pStyle w:val="FactsheetContentHeading"/>
        <w:rPr>
          <w:b w:val="0"/>
          <w:bCs/>
          <w:sz w:val="20"/>
          <w:szCs w:val="18"/>
        </w:rPr>
      </w:pPr>
      <w:r>
        <w:rPr>
          <w:sz w:val="22"/>
          <w:szCs w:val="20"/>
        </w:rPr>
        <w:t xml:space="preserve">The Ministry of Justice has developed </w:t>
      </w:r>
      <w:proofErr w:type="gramStart"/>
      <w:r>
        <w:rPr>
          <w:sz w:val="22"/>
          <w:szCs w:val="20"/>
        </w:rPr>
        <w:t xml:space="preserve">a </w:t>
      </w:r>
      <w:r w:rsidR="00C9523B">
        <w:rPr>
          <w:sz w:val="22"/>
          <w:szCs w:val="20"/>
        </w:rPr>
        <w:t xml:space="preserve"> </w:t>
      </w:r>
      <w:r>
        <w:rPr>
          <w:sz w:val="22"/>
          <w:szCs w:val="20"/>
        </w:rPr>
        <w:t>Quality</w:t>
      </w:r>
      <w:proofErr w:type="gramEnd"/>
      <w:r>
        <w:rPr>
          <w:sz w:val="22"/>
          <w:szCs w:val="20"/>
        </w:rPr>
        <w:t xml:space="preserve"> Framework (QF) to ensure that the interpreter service is delivered consistently to high standards, meeting the needs of all participants who use the service. The QF formalises good practice already occurring </w:t>
      </w:r>
      <w:proofErr w:type="gramStart"/>
      <w:r>
        <w:rPr>
          <w:sz w:val="22"/>
          <w:szCs w:val="20"/>
        </w:rPr>
        <w:t>and also</w:t>
      </w:r>
      <w:proofErr w:type="gramEnd"/>
      <w:r>
        <w:rPr>
          <w:sz w:val="22"/>
          <w:szCs w:val="20"/>
        </w:rPr>
        <w:t xml:space="preserve"> introduces new standards, which are based on Australian standards adapted for the Aotearoa environment</w:t>
      </w:r>
      <w:r w:rsidR="00971B08">
        <w:rPr>
          <w:sz w:val="22"/>
          <w:szCs w:val="20"/>
        </w:rPr>
        <w:t>.</w:t>
      </w:r>
      <w:r>
        <w:rPr>
          <w:sz w:val="22"/>
          <w:szCs w:val="20"/>
        </w:rPr>
        <w:t xml:space="preserve"> Key changes are summarised here. </w:t>
      </w:r>
    </w:p>
    <w:p w14:paraId="2388D9CC" w14:textId="0B89C269" w:rsidR="00A727E2" w:rsidRDefault="00A727E2" w:rsidP="00AF4350">
      <w:pPr>
        <w:pStyle w:val="Heading1"/>
      </w:pPr>
      <w:r>
        <w:t>Criminal record checks</w:t>
      </w:r>
    </w:p>
    <w:p w14:paraId="335408DD" w14:textId="54FE0F86" w:rsidR="00BD1065" w:rsidRPr="00B4470D" w:rsidRDefault="00604648" w:rsidP="00A727E2">
      <w:pPr>
        <w:pStyle w:val="BodyText"/>
        <w:rPr>
          <w:color w:val="auto"/>
        </w:rPr>
      </w:pPr>
      <w:r w:rsidRPr="00B4470D">
        <w:rPr>
          <w:noProof/>
          <w:color w:val="auto"/>
        </w:rPr>
        <w:drawing>
          <wp:anchor distT="0" distB="0" distL="114300" distR="114300" simplePos="0" relativeHeight="251677696" behindDoc="0" locked="0" layoutInCell="1" allowOverlap="1" wp14:anchorId="0ECDE84C" wp14:editId="67A0CBA6">
            <wp:simplePos x="0" y="0"/>
            <wp:positionH relativeFrom="column">
              <wp:posOffset>5880</wp:posOffset>
            </wp:positionH>
            <wp:positionV relativeFrom="paragraph">
              <wp:posOffset>2771</wp:posOffset>
            </wp:positionV>
            <wp:extent cx="889200" cy="8892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a:ln>
                      <a:noFill/>
                    </a:ln>
                  </pic:spPr>
                </pic:pic>
              </a:graphicData>
            </a:graphic>
          </wp:anchor>
        </w:drawing>
      </w:r>
      <w:r w:rsidR="00FF6130" w:rsidRPr="00B4470D">
        <w:rPr>
          <w:color w:val="auto"/>
        </w:rPr>
        <w:t xml:space="preserve">Currently, interpreters must apply for an updated criminal check every two years. As per page </w:t>
      </w:r>
      <w:r w:rsidR="00AF4350" w:rsidRPr="00B4470D">
        <w:rPr>
          <w:color w:val="auto"/>
        </w:rPr>
        <w:t xml:space="preserve">14 of the QF, this is being changed to every </w:t>
      </w:r>
      <w:r w:rsidR="00AF4350" w:rsidRPr="00B4470D">
        <w:rPr>
          <w:b/>
          <w:bCs/>
          <w:color w:val="auto"/>
        </w:rPr>
        <w:t xml:space="preserve">three </w:t>
      </w:r>
      <w:r w:rsidR="00AF4350" w:rsidRPr="00B4470D">
        <w:rPr>
          <w:color w:val="auto"/>
        </w:rPr>
        <w:t>years.</w:t>
      </w:r>
    </w:p>
    <w:p w14:paraId="3B282129" w14:textId="31EDE1F4" w:rsidR="00A727E2" w:rsidRPr="00B4470D" w:rsidRDefault="00AF4350" w:rsidP="00A727E2">
      <w:pPr>
        <w:pStyle w:val="BodyText"/>
        <w:rPr>
          <w:color w:val="auto"/>
        </w:rPr>
      </w:pPr>
      <w:r w:rsidRPr="00B4470D">
        <w:rPr>
          <w:color w:val="auto"/>
        </w:rPr>
        <w:t xml:space="preserve">Interpreters must notify the Ministry or their Language Service Provider (LSP) if they are charged with or convicted of an offence between routine criminal checks. </w:t>
      </w:r>
    </w:p>
    <w:p w14:paraId="6B1066FC" w14:textId="02DE07F2" w:rsidR="00A727E2" w:rsidRPr="005A7474" w:rsidRDefault="00A727E2" w:rsidP="00AF4350">
      <w:pPr>
        <w:pStyle w:val="Heading1"/>
      </w:pPr>
      <w:r w:rsidRPr="005A7474">
        <w:t>Qualifications, certifications, and other requirements</w:t>
      </w:r>
    </w:p>
    <w:p w14:paraId="753ED71D" w14:textId="1A5C72D8" w:rsidR="00A727E2" w:rsidRPr="00B4470D" w:rsidRDefault="005A7474" w:rsidP="00A727E2">
      <w:pPr>
        <w:pStyle w:val="BodyText"/>
        <w:rPr>
          <w:color w:val="auto"/>
        </w:rPr>
      </w:pPr>
      <w:r w:rsidRPr="00B4470D">
        <w:rPr>
          <w:color w:val="auto"/>
        </w:rPr>
        <w:t xml:space="preserve">We are making changes to the way current and new interpreters are engaged as court appointed interpreters. </w:t>
      </w:r>
    </w:p>
    <w:p w14:paraId="0B150138" w14:textId="2DCB8A8B" w:rsidR="00444BCB" w:rsidRPr="00B4470D" w:rsidRDefault="00693550" w:rsidP="00693550">
      <w:pPr>
        <w:pStyle w:val="BodyText"/>
        <w:ind w:right="-284"/>
        <w:rPr>
          <w:color w:val="auto"/>
        </w:rPr>
      </w:pPr>
      <w:r w:rsidRPr="00B4470D">
        <w:rPr>
          <w:color w:val="auto"/>
        </w:rPr>
        <w:t xml:space="preserve">As per page 16 of the QF, interpreters should have: </w:t>
      </w:r>
    </w:p>
    <w:p w14:paraId="15D54966" w14:textId="77777777" w:rsidR="005A7474" w:rsidRPr="00B4470D" w:rsidRDefault="005A7474" w:rsidP="005A7474">
      <w:pPr>
        <w:pStyle w:val="BodyText"/>
        <w:numPr>
          <w:ilvl w:val="0"/>
          <w:numId w:val="23"/>
        </w:numPr>
        <w:rPr>
          <w:color w:val="auto"/>
        </w:rPr>
      </w:pPr>
      <w:r w:rsidRPr="00B4470D">
        <w:rPr>
          <w:color w:val="auto"/>
        </w:rPr>
        <w:t xml:space="preserve">a tertiary qualification in interpreting and/or a qualification in interpreting and translation endorsed by the National </w:t>
      </w:r>
      <w:r w:rsidRPr="00B4470D">
        <w:rPr>
          <w:color w:val="auto"/>
        </w:rPr>
        <w:t>Accreditation Authority for Translators and Interpreters (NAATI)</w:t>
      </w:r>
    </w:p>
    <w:p w14:paraId="326D783E" w14:textId="77777777" w:rsidR="005A7474" w:rsidRPr="00B4470D" w:rsidRDefault="005A7474" w:rsidP="005A7474">
      <w:pPr>
        <w:pStyle w:val="BodyText"/>
        <w:numPr>
          <w:ilvl w:val="0"/>
          <w:numId w:val="23"/>
        </w:numPr>
        <w:rPr>
          <w:color w:val="auto"/>
        </w:rPr>
      </w:pPr>
      <w:r w:rsidRPr="00B4470D">
        <w:rPr>
          <w:color w:val="auto"/>
        </w:rPr>
        <w:t>membership or affiliation with New Zealand Society of Translators and Interpreters (NZSTI)</w:t>
      </w:r>
    </w:p>
    <w:p w14:paraId="2CAAA01E" w14:textId="77777777" w:rsidR="005A7474" w:rsidRPr="00B4470D" w:rsidRDefault="005A7474" w:rsidP="005A7474">
      <w:pPr>
        <w:pStyle w:val="BodyText"/>
        <w:numPr>
          <w:ilvl w:val="0"/>
          <w:numId w:val="23"/>
        </w:numPr>
        <w:rPr>
          <w:color w:val="auto"/>
        </w:rPr>
      </w:pPr>
      <w:r w:rsidRPr="00B4470D">
        <w:rPr>
          <w:color w:val="auto"/>
        </w:rPr>
        <w:t xml:space="preserve">te reo Māori interpreters need to be certified by Te Taura </w:t>
      </w:r>
      <w:proofErr w:type="spellStart"/>
      <w:r w:rsidRPr="00B4470D">
        <w:rPr>
          <w:color w:val="auto"/>
        </w:rPr>
        <w:t>Whiri</w:t>
      </w:r>
      <w:proofErr w:type="spellEnd"/>
      <w:r w:rsidRPr="00B4470D">
        <w:rPr>
          <w:color w:val="auto"/>
        </w:rPr>
        <w:t xml:space="preserve"> </w:t>
      </w:r>
      <w:proofErr w:type="spellStart"/>
      <w:r w:rsidRPr="00B4470D">
        <w:rPr>
          <w:color w:val="auto"/>
        </w:rPr>
        <w:t>i</w:t>
      </w:r>
      <w:proofErr w:type="spellEnd"/>
      <w:r w:rsidRPr="00B4470D">
        <w:rPr>
          <w:color w:val="auto"/>
        </w:rPr>
        <w:t xml:space="preserve"> te Reo or endorsed by a kaumatua or kuia</w:t>
      </w:r>
    </w:p>
    <w:p w14:paraId="28CD5E37" w14:textId="77777777" w:rsidR="005A7474" w:rsidRPr="00B4470D" w:rsidRDefault="005A7474" w:rsidP="005A7474">
      <w:pPr>
        <w:pStyle w:val="BodyText"/>
        <w:numPr>
          <w:ilvl w:val="0"/>
          <w:numId w:val="23"/>
        </w:numPr>
        <w:rPr>
          <w:color w:val="auto"/>
        </w:rPr>
      </w:pPr>
      <w:r w:rsidRPr="00B4470D">
        <w:rPr>
          <w:color w:val="auto"/>
        </w:rPr>
        <w:t>New Zealand Sign Language (NZSL) interpreters need to meet specific education, professional registration, and experience requirements.</w:t>
      </w:r>
    </w:p>
    <w:p w14:paraId="0443FE81" w14:textId="77777777" w:rsidR="005A7474" w:rsidRPr="00B4470D" w:rsidRDefault="005A7474" w:rsidP="005A7474">
      <w:pPr>
        <w:pStyle w:val="BodyText"/>
        <w:numPr>
          <w:ilvl w:val="0"/>
          <w:numId w:val="23"/>
        </w:numPr>
        <w:rPr>
          <w:color w:val="auto"/>
        </w:rPr>
      </w:pPr>
      <w:r w:rsidRPr="00B4470D">
        <w:rPr>
          <w:color w:val="auto"/>
        </w:rPr>
        <w:t>By 1</w:t>
      </w:r>
      <w:r w:rsidRPr="00B4470D">
        <w:rPr>
          <w:color w:val="auto"/>
          <w:vertAlign w:val="superscript"/>
        </w:rPr>
        <w:t>st</w:t>
      </w:r>
      <w:r w:rsidRPr="00B4470D">
        <w:rPr>
          <w:color w:val="auto"/>
        </w:rPr>
        <w:t xml:space="preserve"> July 2024 interpreters must be also working towards or have achieved one or more of the following certifications: </w:t>
      </w:r>
      <w:r w:rsidRPr="00B4470D">
        <w:rPr>
          <w:color w:val="auto"/>
        </w:rPr>
        <w:br/>
      </w:r>
    </w:p>
    <w:p w14:paraId="3F87480C" w14:textId="77777777" w:rsidR="005A7474" w:rsidRPr="00B4470D" w:rsidRDefault="005A7474" w:rsidP="005A7474">
      <w:pPr>
        <w:pStyle w:val="BodyText"/>
        <w:numPr>
          <w:ilvl w:val="0"/>
          <w:numId w:val="25"/>
        </w:numPr>
        <w:spacing w:before="0" w:line="260" w:lineRule="atLeast"/>
        <w:rPr>
          <w:color w:val="auto"/>
        </w:rPr>
      </w:pPr>
      <w:r w:rsidRPr="00B4470D">
        <w:rPr>
          <w:color w:val="auto"/>
        </w:rPr>
        <w:t>Registered to apply for NAATI certification</w:t>
      </w:r>
    </w:p>
    <w:p w14:paraId="43E3BC24" w14:textId="77777777" w:rsidR="005A7474" w:rsidRPr="00B4470D" w:rsidRDefault="005A7474" w:rsidP="005A7474">
      <w:pPr>
        <w:pStyle w:val="BodyText"/>
        <w:numPr>
          <w:ilvl w:val="0"/>
          <w:numId w:val="25"/>
        </w:numPr>
        <w:spacing w:before="0" w:line="260" w:lineRule="atLeast"/>
        <w:rPr>
          <w:color w:val="auto"/>
        </w:rPr>
      </w:pPr>
      <w:r w:rsidRPr="00B4470D">
        <w:rPr>
          <w:color w:val="auto"/>
        </w:rPr>
        <w:t>Recognised Practising Interpreter Credentials</w:t>
      </w:r>
    </w:p>
    <w:p w14:paraId="12B58B5F" w14:textId="77777777" w:rsidR="005A7474" w:rsidRPr="00B4470D" w:rsidRDefault="005A7474" w:rsidP="005A7474">
      <w:pPr>
        <w:pStyle w:val="BodyText"/>
        <w:numPr>
          <w:ilvl w:val="0"/>
          <w:numId w:val="25"/>
        </w:numPr>
        <w:spacing w:before="0" w:line="260" w:lineRule="atLeast"/>
        <w:rPr>
          <w:color w:val="auto"/>
        </w:rPr>
      </w:pPr>
      <w:r w:rsidRPr="00B4470D">
        <w:rPr>
          <w:color w:val="auto"/>
        </w:rPr>
        <w:t>Certified Provisional Interpreters</w:t>
      </w:r>
    </w:p>
    <w:p w14:paraId="59B06A44" w14:textId="77777777" w:rsidR="005A7474" w:rsidRPr="00B4470D" w:rsidRDefault="005A7474" w:rsidP="005A7474">
      <w:pPr>
        <w:pStyle w:val="BodyText"/>
        <w:numPr>
          <w:ilvl w:val="0"/>
          <w:numId w:val="25"/>
        </w:numPr>
        <w:spacing w:before="0" w:line="260" w:lineRule="atLeast"/>
        <w:rPr>
          <w:color w:val="auto"/>
        </w:rPr>
      </w:pPr>
      <w:r w:rsidRPr="00B4470D">
        <w:rPr>
          <w:color w:val="auto"/>
        </w:rPr>
        <w:t>Certified Interpreters</w:t>
      </w:r>
    </w:p>
    <w:p w14:paraId="5FE999BA" w14:textId="77777777" w:rsidR="005A7474" w:rsidRPr="00B4470D" w:rsidRDefault="005A7474" w:rsidP="005A7474">
      <w:pPr>
        <w:pStyle w:val="BodyText"/>
        <w:numPr>
          <w:ilvl w:val="0"/>
          <w:numId w:val="25"/>
        </w:numPr>
        <w:spacing w:before="0" w:line="260" w:lineRule="atLeast"/>
        <w:rPr>
          <w:color w:val="auto"/>
        </w:rPr>
      </w:pPr>
      <w:r w:rsidRPr="00B4470D">
        <w:rPr>
          <w:color w:val="auto"/>
        </w:rPr>
        <w:t>Certified Specialist Legal Interpreter</w:t>
      </w:r>
    </w:p>
    <w:p w14:paraId="0453CEF6" w14:textId="10E7584E" w:rsidR="00A727E2" w:rsidRPr="005A7474" w:rsidRDefault="00A727E2" w:rsidP="005A7474">
      <w:pPr>
        <w:pStyle w:val="Heading1"/>
      </w:pPr>
      <w:bookmarkStart w:id="0" w:name="_Hlk118725616"/>
      <w:r w:rsidRPr="005A7474">
        <w:t>Training modules</w:t>
      </w:r>
    </w:p>
    <w:bookmarkEnd w:id="0"/>
    <w:p w14:paraId="24C44623" w14:textId="1281C3B5" w:rsidR="00693550" w:rsidRPr="00B4470D" w:rsidRDefault="00265934" w:rsidP="00A727E2">
      <w:pPr>
        <w:pStyle w:val="BodyText"/>
        <w:rPr>
          <w:color w:val="auto"/>
        </w:rPr>
      </w:pPr>
      <w:r w:rsidRPr="00B4470D">
        <w:rPr>
          <w:noProof/>
          <w:color w:val="auto"/>
        </w:rPr>
        <w:drawing>
          <wp:anchor distT="0" distB="0" distL="114300" distR="114300" simplePos="0" relativeHeight="251676672" behindDoc="0" locked="0" layoutInCell="1" allowOverlap="1" wp14:anchorId="0ACFA286" wp14:editId="5302899D">
            <wp:simplePos x="0" y="0"/>
            <wp:positionH relativeFrom="column">
              <wp:align>left</wp:align>
            </wp:positionH>
            <wp:positionV relativeFrom="paragraph">
              <wp:posOffset>-2236</wp:posOffset>
            </wp:positionV>
            <wp:extent cx="889200" cy="8892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a:ln>
                      <a:noFill/>
                    </a:ln>
                  </pic:spPr>
                </pic:pic>
              </a:graphicData>
            </a:graphic>
          </wp:anchor>
        </w:drawing>
      </w:r>
      <w:r w:rsidR="005A7474" w:rsidRPr="00B4470D">
        <w:rPr>
          <w:color w:val="auto"/>
        </w:rPr>
        <w:t xml:space="preserve">The Ministry has created three mandatory online training modules for all interpreters working in courts and tribunals to complete. </w:t>
      </w:r>
    </w:p>
    <w:p w14:paraId="554B453D" w14:textId="6926B3F5" w:rsidR="001E2947" w:rsidRPr="00B4470D" w:rsidRDefault="001E2947" w:rsidP="00A727E2">
      <w:pPr>
        <w:pStyle w:val="BodyText"/>
        <w:rPr>
          <w:color w:val="auto"/>
        </w:rPr>
      </w:pPr>
      <w:r w:rsidRPr="00B4470D">
        <w:rPr>
          <w:color w:val="auto"/>
        </w:rPr>
        <w:t xml:space="preserve"> These modules include: </w:t>
      </w:r>
    </w:p>
    <w:p w14:paraId="68E64789" w14:textId="6B50A23B" w:rsidR="001E2947" w:rsidRPr="00B4470D" w:rsidRDefault="002A3C81" w:rsidP="002A3C81">
      <w:pPr>
        <w:pStyle w:val="BodyText"/>
        <w:numPr>
          <w:ilvl w:val="0"/>
          <w:numId w:val="24"/>
        </w:numPr>
        <w:spacing w:before="0"/>
        <w:ind w:left="714" w:hanging="357"/>
        <w:rPr>
          <w:color w:val="auto"/>
        </w:rPr>
      </w:pPr>
      <w:r w:rsidRPr="00B4470D">
        <w:rPr>
          <w:color w:val="auto"/>
        </w:rPr>
        <w:t>t</w:t>
      </w:r>
      <w:r w:rsidR="001E2947" w:rsidRPr="00B4470D">
        <w:rPr>
          <w:color w:val="auto"/>
        </w:rPr>
        <w:t>he Aotearoa New Zealand Justice System</w:t>
      </w:r>
    </w:p>
    <w:p w14:paraId="24FD1086" w14:textId="35B546A1" w:rsidR="001E2947" w:rsidRPr="00B4470D" w:rsidRDefault="002A3C81" w:rsidP="002A3C81">
      <w:pPr>
        <w:pStyle w:val="BodyText"/>
        <w:numPr>
          <w:ilvl w:val="0"/>
          <w:numId w:val="24"/>
        </w:numPr>
        <w:spacing w:before="0"/>
        <w:ind w:left="714" w:hanging="357"/>
        <w:rPr>
          <w:color w:val="auto"/>
        </w:rPr>
      </w:pPr>
      <w:r w:rsidRPr="00B4470D">
        <w:rPr>
          <w:color w:val="auto"/>
        </w:rPr>
        <w:lastRenderedPageBreak/>
        <w:t>w</w:t>
      </w:r>
      <w:r w:rsidR="001E2947" w:rsidRPr="00B4470D">
        <w:rPr>
          <w:color w:val="auto"/>
        </w:rPr>
        <w:t>ho’s who within the Aotearoa New Zealand Justice System</w:t>
      </w:r>
    </w:p>
    <w:p w14:paraId="1633554C" w14:textId="0663664F" w:rsidR="00A727E2" w:rsidRPr="00B4470D" w:rsidRDefault="002A3C81" w:rsidP="002A3C81">
      <w:pPr>
        <w:pStyle w:val="BodyText"/>
        <w:numPr>
          <w:ilvl w:val="0"/>
          <w:numId w:val="24"/>
        </w:numPr>
        <w:spacing w:before="0"/>
        <w:ind w:left="714" w:hanging="357"/>
        <w:rPr>
          <w:color w:val="auto"/>
        </w:rPr>
      </w:pPr>
      <w:r w:rsidRPr="00B4470D">
        <w:rPr>
          <w:color w:val="auto"/>
        </w:rPr>
        <w:t>p</w:t>
      </w:r>
      <w:r w:rsidR="001E2947" w:rsidRPr="00B4470D">
        <w:rPr>
          <w:color w:val="auto"/>
        </w:rPr>
        <w:t xml:space="preserve">rofessional conduct: being neutral and independent in the justice system. </w:t>
      </w:r>
      <w:r w:rsidR="00015B92" w:rsidRPr="00B4470D">
        <w:rPr>
          <w:color w:val="auto"/>
        </w:rPr>
        <w:t xml:space="preserve"> </w:t>
      </w:r>
    </w:p>
    <w:p w14:paraId="64133C9B" w14:textId="77777777" w:rsidR="005A7474" w:rsidRPr="00B4470D" w:rsidRDefault="005A7474" w:rsidP="005A7474">
      <w:pPr>
        <w:pStyle w:val="BodyText"/>
        <w:rPr>
          <w:color w:val="auto"/>
        </w:rPr>
      </w:pPr>
      <w:r w:rsidRPr="00B4470D">
        <w:rPr>
          <w:color w:val="auto"/>
        </w:rPr>
        <w:t xml:space="preserve">These should each take about 10 minutes to complete. New interpreters are expected to complete them before their first interpreting assignment. All current interpreters, whether they work for an LSP or not, should also complete these modules. Interpreters will need to advise the Ministry they have completed the modules. Updates to the current modules, or additional training modules may be made available from time to time. </w:t>
      </w:r>
    </w:p>
    <w:p w14:paraId="32694506" w14:textId="145534F3" w:rsidR="00A727E2" w:rsidRDefault="00FC168F" w:rsidP="00A727E2">
      <w:pPr>
        <w:pStyle w:val="Heading1"/>
        <w:rPr>
          <w:sz w:val="32"/>
          <w:szCs w:val="36"/>
        </w:rPr>
      </w:pPr>
      <w:r>
        <w:rPr>
          <w:noProof/>
        </w:rPr>
        <w:drawing>
          <wp:anchor distT="0" distB="0" distL="114300" distR="114300" simplePos="0" relativeHeight="251675648" behindDoc="1" locked="0" layoutInCell="1" allowOverlap="1" wp14:anchorId="50A47C4B" wp14:editId="23DCFDC9">
            <wp:simplePos x="0" y="0"/>
            <wp:positionH relativeFrom="margin">
              <wp:align>left</wp:align>
            </wp:positionH>
            <wp:positionV relativeFrom="paragraph">
              <wp:posOffset>767582</wp:posOffset>
            </wp:positionV>
            <wp:extent cx="889000" cy="8890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anchor>
        </w:drawing>
      </w:r>
      <w:r w:rsidR="00A727E2">
        <w:rPr>
          <w:sz w:val="32"/>
          <w:szCs w:val="36"/>
        </w:rPr>
        <w:t>Code of conduct</w:t>
      </w:r>
    </w:p>
    <w:p w14:paraId="009189CD" w14:textId="717A8049" w:rsidR="002A3C81" w:rsidRPr="00B4470D" w:rsidRDefault="008F4DC0" w:rsidP="00A727E2">
      <w:pPr>
        <w:pStyle w:val="BodyText"/>
        <w:rPr>
          <w:color w:val="auto"/>
        </w:rPr>
      </w:pPr>
      <w:r w:rsidRPr="00B4470D">
        <w:rPr>
          <w:color w:val="auto"/>
        </w:rPr>
        <w:t xml:space="preserve">Chapter three of the QF details the new interpreter code of conduct. These update the old Guidelines for Interpreters. It is the expectation that all interpreters whether they work for a LSP or not, will adhere to the code of conduct. </w:t>
      </w:r>
    </w:p>
    <w:p w14:paraId="3C5F8415" w14:textId="77777777" w:rsidR="008F4DC0" w:rsidRPr="00B4470D" w:rsidRDefault="008F4DC0" w:rsidP="008F4DC0">
      <w:pPr>
        <w:pStyle w:val="BodyText"/>
        <w:rPr>
          <w:color w:val="auto"/>
        </w:rPr>
      </w:pPr>
      <w:r w:rsidRPr="00B4470D">
        <w:rPr>
          <w:color w:val="auto"/>
        </w:rPr>
        <w:t>The key aspects of the code of conduct are:</w:t>
      </w:r>
    </w:p>
    <w:p w14:paraId="375ADDD1" w14:textId="77777777" w:rsidR="008F4DC0" w:rsidRPr="00B4470D" w:rsidRDefault="008F4DC0" w:rsidP="008F4DC0">
      <w:pPr>
        <w:pStyle w:val="BodyText"/>
        <w:numPr>
          <w:ilvl w:val="0"/>
          <w:numId w:val="19"/>
        </w:numPr>
        <w:spacing w:before="0"/>
        <w:ind w:left="714" w:hanging="357"/>
        <w:rPr>
          <w:color w:val="auto"/>
        </w:rPr>
      </w:pPr>
      <w:r w:rsidRPr="00B4470D">
        <w:rPr>
          <w:color w:val="auto"/>
        </w:rPr>
        <w:t>disclosing a conflict of interest</w:t>
      </w:r>
    </w:p>
    <w:p w14:paraId="33FC59A4" w14:textId="77777777" w:rsidR="008F4DC0" w:rsidRPr="00B4470D" w:rsidRDefault="008F4DC0" w:rsidP="008F4DC0">
      <w:pPr>
        <w:pStyle w:val="BodyText"/>
        <w:numPr>
          <w:ilvl w:val="0"/>
          <w:numId w:val="19"/>
        </w:numPr>
        <w:spacing w:before="0"/>
        <w:ind w:left="714" w:hanging="357"/>
        <w:rPr>
          <w:color w:val="auto"/>
        </w:rPr>
      </w:pPr>
      <w:r w:rsidRPr="00B4470D">
        <w:rPr>
          <w:color w:val="auto"/>
        </w:rPr>
        <w:t>being impartial</w:t>
      </w:r>
    </w:p>
    <w:p w14:paraId="7307C3B0" w14:textId="77777777" w:rsidR="008F4DC0" w:rsidRPr="00B4470D" w:rsidRDefault="008F4DC0" w:rsidP="008F4DC0">
      <w:pPr>
        <w:pStyle w:val="BodyText"/>
        <w:numPr>
          <w:ilvl w:val="0"/>
          <w:numId w:val="19"/>
        </w:numPr>
        <w:spacing w:before="0"/>
        <w:ind w:left="714" w:hanging="357"/>
        <w:rPr>
          <w:color w:val="auto"/>
        </w:rPr>
      </w:pPr>
      <w:r w:rsidRPr="00B4470D">
        <w:rPr>
          <w:color w:val="auto"/>
        </w:rPr>
        <w:t>keeping information private and confidential</w:t>
      </w:r>
    </w:p>
    <w:p w14:paraId="0BEB3259" w14:textId="77777777" w:rsidR="008F4DC0" w:rsidRPr="00B4470D" w:rsidRDefault="008F4DC0" w:rsidP="008F4DC0">
      <w:pPr>
        <w:pStyle w:val="BodyText"/>
        <w:numPr>
          <w:ilvl w:val="0"/>
          <w:numId w:val="19"/>
        </w:numPr>
        <w:spacing w:before="0"/>
        <w:ind w:left="714" w:hanging="357"/>
        <w:rPr>
          <w:color w:val="auto"/>
        </w:rPr>
      </w:pPr>
      <w:r w:rsidRPr="00B4470D">
        <w:rPr>
          <w:color w:val="auto"/>
        </w:rPr>
        <w:t>duty of competence</w:t>
      </w:r>
    </w:p>
    <w:p w14:paraId="58F73A1A" w14:textId="77777777" w:rsidR="008F4DC0" w:rsidRPr="00B4470D" w:rsidRDefault="008F4DC0" w:rsidP="008F4DC0">
      <w:pPr>
        <w:pStyle w:val="BodyText"/>
        <w:numPr>
          <w:ilvl w:val="0"/>
          <w:numId w:val="19"/>
        </w:numPr>
        <w:spacing w:before="0"/>
        <w:ind w:left="714" w:hanging="357"/>
        <w:rPr>
          <w:color w:val="auto"/>
        </w:rPr>
      </w:pPr>
      <w:r w:rsidRPr="00B4470D">
        <w:rPr>
          <w:color w:val="auto"/>
        </w:rPr>
        <w:t>duty of accuracy</w:t>
      </w:r>
    </w:p>
    <w:p w14:paraId="1F7CD303" w14:textId="77777777" w:rsidR="008F4DC0" w:rsidRPr="00B4470D" w:rsidRDefault="008F4DC0" w:rsidP="008F4DC0">
      <w:pPr>
        <w:pStyle w:val="BodyText"/>
        <w:numPr>
          <w:ilvl w:val="0"/>
          <w:numId w:val="19"/>
        </w:numPr>
        <w:spacing w:before="0"/>
        <w:ind w:left="714" w:hanging="357"/>
        <w:rPr>
          <w:color w:val="auto"/>
        </w:rPr>
      </w:pPr>
      <w:r w:rsidRPr="00B4470D">
        <w:rPr>
          <w:color w:val="auto"/>
        </w:rPr>
        <w:t>managing disclosure of information relating to a case</w:t>
      </w:r>
    </w:p>
    <w:p w14:paraId="12B7CC38" w14:textId="77777777" w:rsidR="008F4DC0" w:rsidRPr="00B4470D" w:rsidRDefault="008F4DC0" w:rsidP="008F4DC0">
      <w:pPr>
        <w:pStyle w:val="BodyText"/>
        <w:numPr>
          <w:ilvl w:val="0"/>
          <w:numId w:val="19"/>
        </w:numPr>
        <w:spacing w:before="0"/>
        <w:ind w:left="714" w:hanging="357"/>
        <w:rPr>
          <w:color w:val="auto"/>
        </w:rPr>
      </w:pPr>
      <w:r w:rsidRPr="00B4470D">
        <w:rPr>
          <w:color w:val="auto"/>
        </w:rPr>
        <w:t>information is not to be used for personal gain</w:t>
      </w:r>
    </w:p>
    <w:p w14:paraId="302247AD" w14:textId="77777777" w:rsidR="008F4DC0" w:rsidRPr="00B4470D" w:rsidRDefault="008F4DC0" w:rsidP="008F4DC0">
      <w:pPr>
        <w:pStyle w:val="BodyText"/>
        <w:numPr>
          <w:ilvl w:val="0"/>
          <w:numId w:val="19"/>
        </w:numPr>
        <w:spacing w:before="0"/>
        <w:ind w:left="714" w:hanging="357"/>
        <w:rPr>
          <w:color w:val="auto"/>
        </w:rPr>
      </w:pPr>
      <w:r w:rsidRPr="00B4470D">
        <w:rPr>
          <w:color w:val="auto"/>
        </w:rPr>
        <w:t>protecting the reputation of the court</w:t>
      </w:r>
    </w:p>
    <w:p w14:paraId="2E248EB1" w14:textId="77777777" w:rsidR="008F4DC0" w:rsidRPr="00B4470D" w:rsidRDefault="008F4DC0" w:rsidP="008F4DC0">
      <w:pPr>
        <w:pStyle w:val="BodyText"/>
        <w:numPr>
          <w:ilvl w:val="0"/>
          <w:numId w:val="19"/>
        </w:numPr>
        <w:spacing w:before="0"/>
        <w:ind w:left="714" w:hanging="357"/>
        <w:rPr>
          <w:color w:val="auto"/>
        </w:rPr>
      </w:pPr>
      <w:r w:rsidRPr="00B4470D">
        <w:rPr>
          <w:color w:val="auto"/>
        </w:rPr>
        <w:t>respect for participants cultural safety</w:t>
      </w:r>
    </w:p>
    <w:p w14:paraId="4B82E3C8" w14:textId="77777777" w:rsidR="008F4DC0" w:rsidRPr="00B4470D" w:rsidRDefault="008F4DC0" w:rsidP="008F4DC0">
      <w:pPr>
        <w:pStyle w:val="BodyText"/>
        <w:numPr>
          <w:ilvl w:val="0"/>
          <w:numId w:val="19"/>
        </w:numPr>
        <w:spacing w:before="0"/>
        <w:ind w:left="714" w:hanging="357"/>
        <w:rPr>
          <w:color w:val="auto"/>
        </w:rPr>
      </w:pPr>
      <w:r w:rsidRPr="00B4470D">
        <w:rPr>
          <w:color w:val="auto"/>
        </w:rPr>
        <w:t xml:space="preserve">ethics </w:t>
      </w:r>
    </w:p>
    <w:p w14:paraId="7769546F" w14:textId="77777777" w:rsidR="008F4DC0" w:rsidRPr="00B4470D" w:rsidRDefault="008F4DC0" w:rsidP="008F4DC0">
      <w:pPr>
        <w:pStyle w:val="BodyText"/>
        <w:numPr>
          <w:ilvl w:val="0"/>
          <w:numId w:val="19"/>
        </w:numPr>
        <w:spacing w:before="0"/>
        <w:ind w:left="714" w:hanging="357"/>
        <w:rPr>
          <w:color w:val="auto"/>
        </w:rPr>
      </w:pPr>
      <w:r w:rsidRPr="00B4470D">
        <w:rPr>
          <w:color w:val="auto"/>
        </w:rPr>
        <w:t xml:space="preserve">reporting concerns about family violence and sexual violence </w:t>
      </w:r>
    </w:p>
    <w:p w14:paraId="5066BD4C" w14:textId="33804719" w:rsidR="00A727E2" w:rsidRDefault="00A727E2" w:rsidP="00A727E2">
      <w:pPr>
        <w:pStyle w:val="Heading1"/>
        <w:rPr>
          <w:sz w:val="32"/>
          <w:szCs w:val="36"/>
        </w:rPr>
      </w:pPr>
      <w:r>
        <w:rPr>
          <w:sz w:val="32"/>
          <w:szCs w:val="36"/>
        </w:rPr>
        <w:t>Briefings</w:t>
      </w:r>
      <w:r w:rsidR="009A3DA8">
        <w:rPr>
          <w:sz w:val="32"/>
          <w:szCs w:val="36"/>
        </w:rPr>
        <w:t xml:space="preserve"> by counsel</w:t>
      </w:r>
    </w:p>
    <w:p w14:paraId="5998C1EF" w14:textId="77777777" w:rsidR="008F4DC0" w:rsidRPr="00B4470D" w:rsidRDefault="008F4DC0" w:rsidP="008F4DC0">
      <w:pPr>
        <w:pStyle w:val="BodyText"/>
        <w:rPr>
          <w:color w:val="auto"/>
        </w:rPr>
      </w:pPr>
      <w:r w:rsidRPr="00B4470D">
        <w:rPr>
          <w:noProof/>
          <w:color w:val="auto"/>
        </w:rPr>
        <w:drawing>
          <wp:anchor distT="0" distB="0" distL="114300" distR="114300" simplePos="0" relativeHeight="251681792" behindDoc="0" locked="0" layoutInCell="1" allowOverlap="1" wp14:anchorId="0E8EEBC8" wp14:editId="1BF82296">
            <wp:simplePos x="0" y="0"/>
            <wp:positionH relativeFrom="column">
              <wp:posOffset>-3596</wp:posOffset>
            </wp:positionH>
            <wp:positionV relativeFrom="paragraph">
              <wp:posOffset>5723</wp:posOffset>
            </wp:positionV>
            <wp:extent cx="889200" cy="8892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a:ln>
                      <a:noFill/>
                    </a:ln>
                  </pic:spPr>
                </pic:pic>
              </a:graphicData>
            </a:graphic>
          </wp:anchor>
        </w:drawing>
      </w:r>
      <w:r w:rsidRPr="00B4470D">
        <w:rPr>
          <w:color w:val="auto"/>
        </w:rPr>
        <w:t>Currently counsel ensure interpreters are briefed before a hearing, so they are aware of what the case and the hearing are about. The QF provides guidelines for what these briefings should cover:</w:t>
      </w:r>
      <w:r w:rsidRPr="00B4470D">
        <w:rPr>
          <w:color w:val="auto"/>
        </w:rPr>
        <w:br/>
      </w:r>
    </w:p>
    <w:p w14:paraId="5454C62A" w14:textId="77777777" w:rsidR="008F4DC0" w:rsidRPr="00B4470D" w:rsidRDefault="008F4DC0" w:rsidP="008F4DC0">
      <w:pPr>
        <w:pStyle w:val="BodyText"/>
        <w:numPr>
          <w:ilvl w:val="0"/>
          <w:numId w:val="21"/>
        </w:numPr>
        <w:spacing w:before="0"/>
        <w:ind w:left="714" w:hanging="357"/>
        <w:rPr>
          <w:color w:val="auto"/>
        </w:rPr>
      </w:pPr>
      <w:r w:rsidRPr="00B4470D">
        <w:rPr>
          <w:color w:val="auto"/>
        </w:rPr>
        <w:t>the requirement to take an oath or make an affirmation</w:t>
      </w:r>
    </w:p>
    <w:p w14:paraId="53431904" w14:textId="77777777" w:rsidR="008F4DC0" w:rsidRPr="00B4470D" w:rsidRDefault="008F4DC0" w:rsidP="008F4DC0">
      <w:pPr>
        <w:pStyle w:val="BodyText"/>
        <w:numPr>
          <w:ilvl w:val="0"/>
          <w:numId w:val="21"/>
        </w:numPr>
        <w:spacing w:before="0"/>
        <w:ind w:left="714" w:hanging="357"/>
        <w:rPr>
          <w:color w:val="auto"/>
        </w:rPr>
      </w:pPr>
      <w:r w:rsidRPr="00B4470D">
        <w:rPr>
          <w:color w:val="auto"/>
        </w:rPr>
        <w:t>nature and complexity of the case</w:t>
      </w:r>
    </w:p>
    <w:p w14:paraId="50238D89" w14:textId="77777777" w:rsidR="008F4DC0" w:rsidRPr="00B4470D" w:rsidRDefault="008F4DC0" w:rsidP="008F4DC0">
      <w:pPr>
        <w:pStyle w:val="BodyText"/>
        <w:numPr>
          <w:ilvl w:val="0"/>
          <w:numId w:val="21"/>
        </w:numPr>
        <w:spacing w:before="0"/>
        <w:ind w:left="714" w:hanging="357"/>
        <w:rPr>
          <w:color w:val="auto"/>
        </w:rPr>
      </w:pPr>
      <w:r w:rsidRPr="00B4470D">
        <w:rPr>
          <w:color w:val="auto"/>
        </w:rPr>
        <w:t>what is likely to occur during the proceeding and what the possible outcomes are</w:t>
      </w:r>
    </w:p>
    <w:p w14:paraId="7EF9ADDD" w14:textId="77777777" w:rsidR="008F4DC0" w:rsidRPr="00B4470D" w:rsidRDefault="008F4DC0" w:rsidP="008F4DC0">
      <w:pPr>
        <w:pStyle w:val="BodyText"/>
        <w:numPr>
          <w:ilvl w:val="0"/>
          <w:numId w:val="21"/>
        </w:numPr>
        <w:spacing w:before="0"/>
        <w:ind w:left="714" w:hanging="357"/>
        <w:rPr>
          <w:color w:val="auto"/>
        </w:rPr>
      </w:pPr>
      <w:r w:rsidRPr="00B4470D">
        <w:rPr>
          <w:color w:val="auto"/>
        </w:rPr>
        <w:t xml:space="preserve">what to do if a conflict of interest arises during the hearing </w:t>
      </w:r>
    </w:p>
    <w:p w14:paraId="4B8FE31B" w14:textId="77777777" w:rsidR="008F4DC0" w:rsidRPr="00B4470D" w:rsidRDefault="008F4DC0" w:rsidP="008F4DC0">
      <w:pPr>
        <w:pStyle w:val="BodyText"/>
        <w:numPr>
          <w:ilvl w:val="0"/>
          <w:numId w:val="21"/>
        </w:numPr>
        <w:spacing w:before="0"/>
        <w:ind w:left="714" w:hanging="357"/>
        <w:rPr>
          <w:color w:val="auto"/>
        </w:rPr>
      </w:pPr>
      <w:r w:rsidRPr="00B4470D">
        <w:rPr>
          <w:color w:val="auto"/>
        </w:rPr>
        <w:t>legal and technical jargon that is likely to be used</w:t>
      </w:r>
    </w:p>
    <w:p w14:paraId="6A086B55" w14:textId="77777777" w:rsidR="008F4DC0" w:rsidRPr="00B4470D" w:rsidRDefault="008F4DC0" w:rsidP="008F4DC0">
      <w:pPr>
        <w:pStyle w:val="BodyText"/>
        <w:numPr>
          <w:ilvl w:val="0"/>
          <w:numId w:val="21"/>
        </w:numPr>
        <w:spacing w:before="0"/>
        <w:ind w:left="714" w:hanging="357"/>
        <w:rPr>
          <w:color w:val="auto"/>
        </w:rPr>
      </w:pPr>
      <w:r w:rsidRPr="00B4470D">
        <w:rPr>
          <w:color w:val="auto"/>
        </w:rPr>
        <w:t>requirement to return any confidential documents to the court</w:t>
      </w:r>
    </w:p>
    <w:p w14:paraId="600A84A1" w14:textId="77777777" w:rsidR="008F4DC0" w:rsidRPr="00B4470D" w:rsidRDefault="008F4DC0" w:rsidP="008F4DC0">
      <w:pPr>
        <w:pStyle w:val="BodyText"/>
        <w:numPr>
          <w:ilvl w:val="0"/>
          <w:numId w:val="21"/>
        </w:numPr>
        <w:spacing w:before="0"/>
        <w:ind w:left="714" w:hanging="357"/>
        <w:rPr>
          <w:color w:val="auto"/>
        </w:rPr>
      </w:pPr>
      <w:r w:rsidRPr="00B4470D">
        <w:rPr>
          <w:color w:val="auto"/>
        </w:rPr>
        <w:t>whether there are any relevant written materials to be presented as evidence that have been or may need to be translated.</w:t>
      </w:r>
    </w:p>
    <w:p w14:paraId="36CDFE5C" w14:textId="77777777" w:rsidR="00991831" w:rsidRPr="00B4470D" w:rsidRDefault="00991831" w:rsidP="00FD6483">
      <w:pPr>
        <w:pStyle w:val="BodyText"/>
        <w:spacing w:before="0"/>
        <w:rPr>
          <w:color w:val="auto"/>
        </w:rPr>
      </w:pPr>
    </w:p>
    <w:p w14:paraId="1B4A1ABD" w14:textId="0B123EC6" w:rsidR="00FD6483" w:rsidRPr="00B4470D" w:rsidRDefault="008F4DC0" w:rsidP="00991831">
      <w:pPr>
        <w:pStyle w:val="BodyText"/>
        <w:spacing w:before="0"/>
        <w:rPr>
          <w:color w:val="auto"/>
        </w:rPr>
      </w:pPr>
      <w:r w:rsidRPr="00B4470D">
        <w:rPr>
          <w:color w:val="auto"/>
        </w:rPr>
        <w:t xml:space="preserve">At the briefing, interpreters should discuss with Counsel, or the judicial officer or adjudicator, if there are any cross-culture issues the court may need to be aware of. If Counsel hasn’t been assigned to the participant, courts and tribunal staff may brief the interpreter. </w:t>
      </w:r>
    </w:p>
    <w:p w14:paraId="76090619" w14:textId="352C7F87" w:rsidR="00A727E2" w:rsidRDefault="00A727E2" w:rsidP="00A727E2">
      <w:pPr>
        <w:pStyle w:val="Heading1"/>
        <w:rPr>
          <w:sz w:val="32"/>
          <w:szCs w:val="36"/>
        </w:rPr>
      </w:pPr>
      <w:bookmarkStart w:id="1" w:name="_Hlk116565674"/>
      <w:r>
        <w:rPr>
          <w:sz w:val="32"/>
          <w:szCs w:val="36"/>
        </w:rPr>
        <w:t>Court materials</w:t>
      </w:r>
    </w:p>
    <w:bookmarkEnd w:id="1"/>
    <w:p w14:paraId="592DB364" w14:textId="77777777" w:rsidR="008F4DC0" w:rsidRPr="00B4470D" w:rsidRDefault="008F4DC0" w:rsidP="008F4DC0">
      <w:pPr>
        <w:pStyle w:val="BodyText"/>
        <w:rPr>
          <w:color w:val="auto"/>
        </w:rPr>
      </w:pPr>
      <w:r w:rsidRPr="00B4470D">
        <w:rPr>
          <w:color w:val="auto"/>
        </w:rPr>
        <w:t xml:space="preserve">Counsel and court and tribunal staff may provide interpreters with materials to review </w:t>
      </w:r>
      <w:proofErr w:type="gramStart"/>
      <w:r w:rsidRPr="00B4470D">
        <w:rPr>
          <w:color w:val="auto"/>
        </w:rPr>
        <w:t>in order to</w:t>
      </w:r>
      <w:proofErr w:type="gramEnd"/>
      <w:r w:rsidRPr="00B4470D">
        <w:rPr>
          <w:color w:val="auto"/>
        </w:rPr>
        <w:t xml:space="preserve"> help them prepare for a hearing. A list of materials they may have access to is on pages 39-41 of the QF. </w:t>
      </w:r>
    </w:p>
    <w:p w14:paraId="65AE5E25" w14:textId="2BDD5528" w:rsidR="00A727E2" w:rsidRDefault="00A727E2" w:rsidP="00A727E2">
      <w:pPr>
        <w:pStyle w:val="Heading1"/>
        <w:rPr>
          <w:sz w:val="32"/>
          <w:szCs w:val="36"/>
        </w:rPr>
      </w:pPr>
      <w:r>
        <w:rPr>
          <w:sz w:val="32"/>
          <w:szCs w:val="36"/>
        </w:rPr>
        <w:lastRenderedPageBreak/>
        <w:t>Employee Assistance Programme</w:t>
      </w:r>
      <w:r w:rsidR="00FD6483">
        <w:rPr>
          <w:sz w:val="32"/>
          <w:szCs w:val="36"/>
        </w:rPr>
        <w:t xml:space="preserve"> (EAP)</w:t>
      </w:r>
    </w:p>
    <w:p w14:paraId="7373DDEE" w14:textId="77777777" w:rsidR="00B4470D" w:rsidRPr="00F57D97" w:rsidRDefault="00B4470D" w:rsidP="00B4470D">
      <w:pPr>
        <w:pStyle w:val="BodyText"/>
        <w:rPr>
          <w:color w:val="auto"/>
        </w:rPr>
      </w:pPr>
      <w:r w:rsidRPr="00F57D97">
        <w:rPr>
          <w:rFonts w:cs="Arial"/>
          <w:bCs/>
          <w:color w:val="auto"/>
        </w:rPr>
        <w:t xml:space="preserve">Court interpreters are sometimes exposed to distressing and traumatic material while performing their role in court. To support their wellbeing, interpreters can now access up to three counselling appointments per year </w:t>
      </w:r>
      <w:r w:rsidRPr="00F57D97">
        <w:rPr>
          <w:color w:val="auto"/>
        </w:rPr>
        <w:t xml:space="preserve">through the Ministry’s Employee Assistance Programme (EAP). </w:t>
      </w:r>
    </w:p>
    <w:p w14:paraId="1FC87820" w14:textId="7932584B" w:rsidR="00131486" w:rsidRDefault="00131486" w:rsidP="00131486">
      <w:pPr>
        <w:pStyle w:val="Heading1"/>
        <w:rPr>
          <w:sz w:val="32"/>
          <w:szCs w:val="36"/>
        </w:rPr>
      </w:pPr>
      <w:r>
        <w:rPr>
          <w:sz w:val="32"/>
          <w:szCs w:val="36"/>
        </w:rPr>
        <w:t>Court and tribunal orientation</w:t>
      </w:r>
    </w:p>
    <w:p w14:paraId="4BF60CD2" w14:textId="77777777" w:rsidR="00B4470D" w:rsidRPr="00B4470D" w:rsidRDefault="00B4470D" w:rsidP="00B4470D">
      <w:pPr>
        <w:pStyle w:val="BodyText"/>
        <w:rPr>
          <w:color w:val="auto"/>
        </w:rPr>
      </w:pPr>
      <w:r w:rsidRPr="00B4470D">
        <w:rPr>
          <w:noProof/>
          <w:color w:val="auto"/>
        </w:rPr>
        <w:drawing>
          <wp:anchor distT="0" distB="0" distL="114300" distR="114300" simplePos="0" relativeHeight="251683840" behindDoc="0" locked="0" layoutInCell="1" allowOverlap="1" wp14:anchorId="40CB17C1" wp14:editId="4A5B2992">
            <wp:simplePos x="0" y="0"/>
            <wp:positionH relativeFrom="column">
              <wp:posOffset>5880</wp:posOffset>
            </wp:positionH>
            <wp:positionV relativeFrom="paragraph">
              <wp:posOffset>-256</wp:posOffset>
            </wp:positionV>
            <wp:extent cx="889200" cy="889200"/>
            <wp:effectExtent l="0" t="0" r="635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70D">
        <w:rPr>
          <w:color w:val="auto"/>
        </w:rPr>
        <w:t>Newly appointed interpreters will be able to arrange for a tour of the court or tribunal facilities before their first booking. Some of the things the QF says should be included in the tour are:</w:t>
      </w:r>
    </w:p>
    <w:p w14:paraId="3956BE17" w14:textId="77777777" w:rsidR="00B4470D" w:rsidRPr="00B4470D" w:rsidRDefault="00B4470D" w:rsidP="00B4470D">
      <w:pPr>
        <w:pStyle w:val="BodyText"/>
        <w:rPr>
          <w:color w:val="auto"/>
        </w:rPr>
      </w:pPr>
    </w:p>
    <w:p w14:paraId="4FC73E1D" w14:textId="77777777" w:rsidR="00B4470D" w:rsidRPr="00B4470D" w:rsidRDefault="00B4470D" w:rsidP="00B4470D">
      <w:pPr>
        <w:pStyle w:val="BodyText"/>
        <w:numPr>
          <w:ilvl w:val="0"/>
          <w:numId w:val="22"/>
        </w:numPr>
        <w:spacing w:before="0"/>
        <w:ind w:left="714" w:hanging="357"/>
        <w:rPr>
          <w:color w:val="auto"/>
        </w:rPr>
      </w:pPr>
      <w:r w:rsidRPr="00B4470D">
        <w:rPr>
          <w:color w:val="auto"/>
        </w:rPr>
        <w:t>court security and health and safety procedures</w:t>
      </w:r>
    </w:p>
    <w:p w14:paraId="29A6BC7F" w14:textId="77777777" w:rsidR="00B4470D" w:rsidRPr="00B4470D" w:rsidRDefault="00B4470D" w:rsidP="00B4470D">
      <w:pPr>
        <w:pStyle w:val="BodyText"/>
        <w:numPr>
          <w:ilvl w:val="0"/>
          <w:numId w:val="22"/>
        </w:numPr>
        <w:spacing w:before="0"/>
        <w:ind w:left="714" w:hanging="357"/>
        <w:rPr>
          <w:color w:val="auto"/>
        </w:rPr>
      </w:pPr>
      <w:r w:rsidRPr="00B4470D">
        <w:rPr>
          <w:color w:val="auto"/>
        </w:rPr>
        <w:t>location of key areas within the court such as the service desk, bail counter, courtrooms, waiting areas, toilets, cells, break areas</w:t>
      </w:r>
    </w:p>
    <w:p w14:paraId="7C9A256E" w14:textId="77777777" w:rsidR="00B4470D" w:rsidRPr="00B4470D" w:rsidRDefault="00B4470D" w:rsidP="00B4470D">
      <w:pPr>
        <w:pStyle w:val="BodyText"/>
        <w:numPr>
          <w:ilvl w:val="0"/>
          <w:numId w:val="22"/>
        </w:numPr>
        <w:spacing w:before="0"/>
        <w:ind w:left="714" w:hanging="357"/>
        <w:rPr>
          <w:color w:val="auto"/>
        </w:rPr>
      </w:pPr>
      <w:r w:rsidRPr="00B4470D">
        <w:rPr>
          <w:color w:val="auto"/>
        </w:rPr>
        <w:t>how cases will be called, and what to do when they are</w:t>
      </w:r>
    </w:p>
    <w:p w14:paraId="409AF03C" w14:textId="77777777" w:rsidR="00B4470D" w:rsidRPr="00B4470D" w:rsidRDefault="00B4470D" w:rsidP="00B4470D">
      <w:pPr>
        <w:pStyle w:val="BodyText"/>
        <w:numPr>
          <w:ilvl w:val="0"/>
          <w:numId w:val="22"/>
        </w:numPr>
        <w:spacing w:before="0"/>
        <w:ind w:left="714" w:hanging="357"/>
        <w:rPr>
          <w:color w:val="auto"/>
        </w:rPr>
      </w:pPr>
      <w:r w:rsidRPr="00B4470D">
        <w:rPr>
          <w:color w:val="auto"/>
        </w:rPr>
        <w:t>where to sit or stand in the courtroom</w:t>
      </w:r>
    </w:p>
    <w:p w14:paraId="12FF10A1" w14:textId="77777777" w:rsidR="00B4470D" w:rsidRPr="00B4470D" w:rsidRDefault="00B4470D" w:rsidP="00B4470D">
      <w:pPr>
        <w:pStyle w:val="BodyText"/>
        <w:numPr>
          <w:ilvl w:val="0"/>
          <w:numId w:val="22"/>
        </w:numPr>
        <w:spacing w:before="0"/>
        <w:ind w:left="714" w:hanging="357"/>
        <w:rPr>
          <w:color w:val="auto"/>
        </w:rPr>
      </w:pPr>
      <w:r w:rsidRPr="00B4470D">
        <w:rPr>
          <w:color w:val="auto"/>
        </w:rPr>
        <w:t>what will happen when the hearing starts, including taking an official oath or affirmation</w:t>
      </w:r>
    </w:p>
    <w:p w14:paraId="5E2DBA5E" w14:textId="77777777" w:rsidR="00B4470D" w:rsidRPr="00B4470D" w:rsidRDefault="00B4470D" w:rsidP="00B4470D">
      <w:pPr>
        <w:pStyle w:val="BodyText"/>
        <w:numPr>
          <w:ilvl w:val="0"/>
          <w:numId w:val="22"/>
        </w:numPr>
        <w:spacing w:before="0"/>
        <w:ind w:left="714" w:hanging="357"/>
        <w:rPr>
          <w:color w:val="auto"/>
        </w:rPr>
      </w:pPr>
      <w:r w:rsidRPr="00B4470D">
        <w:rPr>
          <w:color w:val="auto"/>
        </w:rPr>
        <w:t>how to address the judicial officer (see chapter 3 of the QF) and other relevant court protocols</w:t>
      </w:r>
    </w:p>
    <w:p w14:paraId="1B5385BD" w14:textId="77777777" w:rsidR="00B4470D" w:rsidRPr="00B4470D" w:rsidRDefault="00B4470D" w:rsidP="00B4470D">
      <w:pPr>
        <w:pStyle w:val="BodyText"/>
        <w:numPr>
          <w:ilvl w:val="0"/>
          <w:numId w:val="22"/>
        </w:numPr>
        <w:spacing w:before="0"/>
        <w:ind w:left="714" w:hanging="357"/>
        <w:rPr>
          <w:color w:val="auto"/>
        </w:rPr>
      </w:pPr>
      <w:r w:rsidRPr="00B4470D">
        <w:rPr>
          <w:color w:val="auto"/>
        </w:rPr>
        <w:t>Wi-Fi availability</w:t>
      </w:r>
    </w:p>
    <w:p w14:paraId="6E3E521D" w14:textId="77777777" w:rsidR="00B4470D" w:rsidRPr="00B4470D" w:rsidRDefault="00B4470D" w:rsidP="00B4470D">
      <w:pPr>
        <w:pStyle w:val="BodyText"/>
        <w:numPr>
          <w:ilvl w:val="0"/>
          <w:numId w:val="22"/>
        </w:numPr>
        <w:spacing w:before="0"/>
        <w:ind w:left="714" w:hanging="357"/>
        <w:rPr>
          <w:color w:val="auto"/>
        </w:rPr>
      </w:pPr>
      <w:r w:rsidRPr="00B4470D">
        <w:rPr>
          <w:color w:val="auto"/>
        </w:rPr>
        <w:t>how to get timesheets signed.</w:t>
      </w:r>
    </w:p>
    <w:p w14:paraId="67E1140D" w14:textId="77777777" w:rsidR="00B4470D" w:rsidRPr="00B4470D" w:rsidRDefault="00B4470D" w:rsidP="00B4470D">
      <w:pPr>
        <w:pStyle w:val="BodyText"/>
        <w:rPr>
          <w:color w:val="auto"/>
        </w:rPr>
      </w:pPr>
      <w:r w:rsidRPr="00B4470D">
        <w:rPr>
          <w:color w:val="auto"/>
        </w:rPr>
        <w:t xml:space="preserve">New interpreters will also be able to observe an experienced interpreter in court ahead of their first assignment. </w:t>
      </w:r>
    </w:p>
    <w:p w14:paraId="3FEA9A0B" w14:textId="3BEA1CF3" w:rsidR="004C0CC1" w:rsidRDefault="000F5FA9" w:rsidP="004C0CC1">
      <w:pPr>
        <w:pStyle w:val="Heading1"/>
        <w:rPr>
          <w:sz w:val="32"/>
          <w:szCs w:val="36"/>
        </w:rPr>
      </w:pPr>
      <w:r>
        <w:rPr>
          <w:sz w:val="32"/>
          <w:szCs w:val="36"/>
        </w:rPr>
        <w:t>How to assess the need for an interpreter</w:t>
      </w:r>
    </w:p>
    <w:p w14:paraId="29B3B326" w14:textId="3816B05D" w:rsidR="00B4470D" w:rsidRDefault="00F57D97" w:rsidP="00B4470D">
      <w:pPr>
        <w:pStyle w:val="BodyText"/>
        <w:rPr>
          <w:color w:val="auto"/>
        </w:rPr>
      </w:pPr>
      <w:r w:rsidRPr="00B4470D">
        <w:rPr>
          <w:noProof/>
          <w:color w:val="auto"/>
        </w:rPr>
        <w:drawing>
          <wp:anchor distT="0" distB="0" distL="114300" distR="114300" simplePos="0" relativeHeight="251685888" behindDoc="0" locked="0" layoutInCell="1" allowOverlap="1" wp14:anchorId="6807273B" wp14:editId="4D6F0B70">
            <wp:simplePos x="0" y="0"/>
            <wp:positionH relativeFrom="column">
              <wp:align>left</wp:align>
            </wp:positionH>
            <wp:positionV relativeFrom="paragraph">
              <wp:posOffset>17145</wp:posOffset>
            </wp:positionV>
            <wp:extent cx="889200" cy="8892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2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70D" w:rsidRPr="00B4470D">
        <w:rPr>
          <w:color w:val="auto"/>
        </w:rPr>
        <w:t>It’s not always clear if someone needs an interpreter in court. The QF provides guidance on how to:</w:t>
      </w:r>
    </w:p>
    <w:p w14:paraId="5978B01B" w14:textId="77777777" w:rsidR="000C0E18" w:rsidRPr="00B4470D" w:rsidRDefault="000C0E18" w:rsidP="00B4470D">
      <w:pPr>
        <w:pStyle w:val="BodyText"/>
        <w:rPr>
          <w:color w:val="auto"/>
        </w:rPr>
      </w:pPr>
    </w:p>
    <w:p w14:paraId="6DEC903E" w14:textId="77777777" w:rsidR="00B4470D" w:rsidRPr="00B4470D" w:rsidRDefault="00B4470D" w:rsidP="00B4470D">
      <w:pPr>
        <w:pStyle w:val="BodyText"/>
        <w:numPr>
          <w:ilvl w:val="0"/>
          <w:numId w:val="26"/>
        </w:numPr>
        <w:rPr>
          <w:color w:val="auto"/>
        </w:rPr>
      </w:pPr>
      <w:r w:rsidRPr="00B4470D">
        <w:rPr>
          <w:color w:val="auto"/>
        </w:rPr>
        <w:t>speak to someone about the benefits of using an interpreter</w:t>
      </w:r>
    </w:p>
    <w:p w14:paraId="276699C1" w14:textId="77777777" w:rsidR="00B4470D" w:rsidRPr="00B4470D" w:rsidRDefault="00B4470D" w:rsidP="00B4470D">
      <w:pPr>
        <w:pStyle w:val="BodyText"/>
        <w:numPr>
          <w:ilvl w:val="0"/>
          <w:numId w:val="26"/>
        </w:numPr>
        <w:rPr>
          <w:color w:val="auto"/>
        </w:rPr>
      </w:pPr>
      <w:r w:rsidRPr="00B4470D">
        <w:rPr>
          <w:color w:val="auto"/>
        </w:rPr>
        <w:t>Assess their English-speaking ability and comprehension</w:t>
      </w:r>
    </w:p>
    <w:p w14:paraId="26254513" w14:textId="77777777" w:rsidR="00B4470D" w:rsidRPr="00B4470D" w:rsidRDefault="00B4470D" w:rsidP="00B4470D">
      <w:pPr>
        <w:pStyle w:val="BodyText"/>
        <w:numPr>
          <w:ilvl w:val="0"/>
          <w:numId w:val="26"/>
        </w:numPr>
        <w:rPr>
          <w:color w:val="auto"/>
        </w:rPr>
      </w:pPr>
      <w:r w:rsidRPr="00B4470D">
        <w:rPr>
          <w:color w:val="auto"/>
        </w:rPr>
        <w:t xml:space="preserve">Assess their ability to communicate in a formal court room, for example does the person only speak in short sentences or rely on yes/no answers? Can they repeat back what is said to them? Are their words clear but the meaning of their response out of context or confusing? </w:t>
      </w:r>
    </w:p>
    <w:p w14:paraId="7ED7BA12" w14:textId="77777777" w:rsidR="00B4470D" w:rsidRPr="00B4470D" w:rsidRDefault="00B4470D" w:rsidP="00B4470D">
      <w:pPr>
        <w:pStyle w:val="BodyText"/>
        <w:ind w:left="360"/>
        <w:rPr>
          <w:color w:val="auto"/>
        </w:rPr>
      </w:pPr>
      <w:r w:rsidRPr="00B4470D">
        <w:rPr>
          <w:color w:val="auto"/>
        </w:rPr>
        <w:t xml:space="preserve">This guidance will be helpful for anyone who interacts with a participant </w:t>
      </w:r>
      <w:proofErr w:type="gramStart"/>
      <w:r w:rsidRPr="00B4470D">
        <w:rPr>
          <w:color w:val="auto"/>
        </w:rPr>
        <w:t>during the course of</w:t>
      </w:r>
      <w:proofErr w:type="gramEnd"/>
      <w:r w:rsidRPr="00B4470D">
        <w:rPr>
          <w:color w:val="auto"/>
        </w:rPr>
        <w:t xml:space="preserve"> a court or tribunal proceeding. </w:t>
      </w:r>
    </w:p>
    <w:p w14:paraId="350A5261" w14:textId="77777777" w:rsidR="00B4470D" w:rsidRPr="00B4470D" w:rsidRDefault="00B4470D" w:rsidP="00B4470D">
      <w:pPr>
        <w:pStyle w:val="BodyText"/>
        <w:ind w:left="360"/>
        <w:rPr>
          <w:color w:val="auto"/>
        </w:rPr>
      </w:pPr>
      <w:r w:rsidRPr="00B4470D">
        <w:rPr>
          <w:color w:val="auto"/>
        </w:rPr>
        <w:t xml:space="preserve">The QF also outlines the processes for booking interpreters and conducting proceedings using an interpreter. </w:t>
      </w:r>
    </w:p>
    <w:p w14:paraId="73F6B659" w14:textId="5F4C72AC" w:rsidR="00C55B1A" w:rsidRPr="00A727E2" w:rsidRDefault="00C55B1A" w:rsidP="00C55B1A">
      <w:pPr>
        <w:pStyle w:val="BodyText"/>
        <w:ind w:left="360"/>
      </w:pPr>
    </w:p>
    <w:p w14:paraId="15DE46A1" w14:textId="77777777" w:rsidR="00A727E2" w:rsidRDefault="00A727E2" w:rsidP="00B4470D">
      <w:pPr>
        <w:pStyle w:val="FactsheetContentHeading"/>
      </w:pPr>
    </w:p>
    <w:sectPr w:rsidR="00A727E2" w:rsidSect="00AE6774">
      <w:type w:val="continuous"/>
      <w:pgSz w:w="11906" w:h="16838"/>
      <w:pgMar w:top="284" w:right="849" w:bottom="1440" w:left="851" w:header="227" w:footer="113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0AE7" w14:textId="77777777" w:rsidR="00A97105" w:rsidRDefault="00A97105" w:rsidP="00F03958">
      <w:pPr>
        <w:spacing w:after="0" w:line="240" w:lineRule="auto"/>
      </w:pPr>
      <w:r>
        <w:separator/>
      </w:r>
    </w:p>
  </w:endnote>
  <w:endnote w:type="continuationSeparator" w:id="0">
    <w:p w14:paraId="1AAA2289" w14:textId="77777777" w:rsidR="00A97105" w:rsidRDefault="00A97105" w:rsidP="00F0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FAC4" w14:textId="77777777" w:rsidR="000A1526" w:rsidRDefault="00106DD5">
    <w:pPr>
      <w:pStyle w:val="Footer"/>
    </w:pPr>
    <w:r w:rsidRPr="008269CC">
      <w:rPr>
        <w:noProof/>
      </w:rPr>
      <mc:AlternateContent>
        <mc:Choice Requires="wps">
          <w:drawing>
            <wp:anchor distT="0" distB="0" distL="114300" distR="114300" simplePos="0" relativeHeight="251670528" behindDoc="1" locked="0" layoutInCell="1" allowOverlap="1" wp14:anchorId="04C78792" wp14:editId="75A8A1E9">
              <wp:simplePos x="0" y="0"/>
              <wp:positionH relativeFrom="page">
                <wp:align>right</wp:align>
              </wp:positionH>
              <wp:positionV relativeFrom="paragraph">
                <wp:posOffset>-1245235</wp:posOffset>
              </wp:positionV>
              <wp:extent cx="434340" cy="1203960"/>
              <wp:effectExtent l="0" t="0" r="3810" b="0"/>
              <wp:wrapNone/>
              <wp:docPr id="233" name="Rectangle 233"/>
              <wp:cNvGraphicFramePr/>
              <a:graphic xmlns:a="http://schemas.openxmlformats.org/drawingml/2006/main">
                <a:graphicData uri="http://schemas.microsoft.com/office/word/2010/wordprocessingShape">
                  <wps:wsp>
                    <wps:cNvSpPr/>
                    <wps:spPr>
                      <a:xfrm>
                        <a:off x="0" y="0"/>
                        <a:ext cx="434340" cy="1203960"/>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A3764" id="Rectangle 233" o:spid="_x0000_s1026" style="position:absolute;margin-left:-17pt;margin-top:-98.05pt;width:34.2pt;height:94.8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" fillcolor="#263e78"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0FB7" w14:textId="77777777" w:rsidR="00107B8D" w:rsidRDefault="00D83DFA">
    <w:pPr>
      <w:pStyle w:val="Footer"/>
    </w:pPr>
    <w:r>
      <w:rPr>
        <w:noProof/>
      </w:rPr>
      <w:drawing>
        <wp:anchor distT="0" distB="0" distL="114300" distR="114300" simplePos="0" relativeHeight="251663360" behindDoc="1" locked="0" layoutInCell="1" allowOverlap="1" wp14:anchorId="22B58FB2" wp14:editId="2A566FB0">
          <wp:simplePos x="0" y="0"/>
          <wp:positionH relativeFrom="margin">
            <wp:posOffset>5301615</wp:posOffset>
          </wp:positionH>
          <wp:positionV relativeFrom="paragraph">
            <wp:posOffset>-18415</wp:posOffset>
          </wp:positionV>
          <wp:extent cx="1304290" cy="203200"/>
          <wp:effectExtent l="0" t="0" r="0" b="6350"/>
          <wp:wrapNone/>
          <wp:docPr id="262" name="Picture 262" descr="X:\Photographs &amp; Images\Logos\All of government\a-o-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graphs &amp; Images\Logos\All of government\a-o-g_B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87" t="18441" r="4082" b="26133"/>
                  <a:stretch/>
                </pic:blipFill>
                <pic:spPr bwMode="auto">
                  <a:xfrm>
                    <a:off x="0" y="0"/>
                    <a:ext cx="1304290" cy="2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670">
      <w:rPr>
        <w:noProof/>
      </w:rPr>
      <w:drawing>
        <wp:anchor distT="0" distB="0" distL="114300" distR="114300" simplePos="0" relativeHeight="251660288" behindDoc="1" locked="0" layoutInCell="1" allowOverlap="1" wp14:anchorId="51078C7A" wp14:editId="29A5007C">
          <wp:simplePos x="0" y="0"/>
          <wp:positionH relativeFrom="page">
            <wp:posOffset>403860</wp:posOffset>
          </wp:positionH>
          <wp:positionV relativeFrom="paragraph">
            <wp:posOffset>-224155</wp:posOffset>
          </wp:positionV>
          <wp:extent cx="1104900" cy="360680"/>
          <wp:effectExtent l="0" t="0" r="0" b="127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J_CMYK.png"/>
                  <pic:cNvPicPr/>
                </pic:nvPicPr>
                <pic:blipFill>
                  <a:blip r:embed="rId2">
                    <a:extLst>
                      <a:ext uri="{28A0092B-C50C-407E-A947-70E740481C1C}">
                        <a14:useLocalDpi xmlns:a14="http://schemas.microsoft.com/office/drawing/2010/main" val="0"/>
                      </a:ext>
                    </a:extLst>
                  </a:blip>
                  <a:stretch>
                    <a:fillRect/>
                  </a:stretch>
                </pic:blipFill>
                <pic:spPr>
                  <a:xfrm>
                    <a:off x="0" y="0"/>
                    <a:ext cx="1104900" cy="360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9863" w14:textId="77777777" w:rsidR="00A97105" w:rsidRDefault="00A97105" w:rsidP="00F03958">
      <w:pPr>
        <w:spacing w:after="0" w:line="240" w:lineRule="auto"/>
      </w:pPr>
      <w:r>
        <w:separator/>
      </w:r>
    </w:p>
  </w:footnote>
  <w:footnote w:type="continuationSeparator" w:id="0">
    <w:p w14:paraId="08CB4AA5" w14:textId="77777777" w:rsidR="00A97105" w:rsidRDefault="00A97105" w:rsidP="00F0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0B81" w14:textId="77777777" w:rsidR="00F03958" w:rsidRDefault="00F03958">
    <w:pPr>
      <w:pStyle w:val="Header"/>
    </w:pPr>
  </w:p>
  <w:p w14:paraId="2FB62E01" w14:textId="77777777" w:rsidR="00F03958" w:rsidRDefault="00F0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47FF" w14:textId="77777777" w:rsidR="00F03958" w:rsidRDefault="00CC3BF2">
    <w:pPr>
      <w:pStyle w:val="Header"/>
    </w:pPr>
    <w:r w:rsidRPr="008269CC">
      <w:rPr>
        <w:noProof/>
      </w:rPr>
      <mc:AlternateContent>
        <mc:Choice Requires="wps">
          <w:drawing>
            <wp:anchor distT="0" distB="0" distL="114300" distR="114300" simplePos="0" relativeHeight="251666432" behindDoc="1" locked="0" layoutInCell="1" allowOverlap="1" wp14:anchorId="6158587C" wp14:editId="15477C2B">
              <wp:simplePos x="0" y="0"/>
              <wp:positionH relativeFrom="page">
                <wp:posOffset>-25400</wp:posOffset>
              </wp:positionH>
              <wp:positionV relativeFrom="paragraph">
                <wp:posOffset>529590</wp:posOffset>
              </wp:positionV>
              <wp:extent cx="434340" cy="1211580"/>
              <wp:effectExtent l="0" t="0" r="3810" b="7620"/>
              <wp:wrapNone/>
              <wp:docPr id="5" name="Rectangle 5"/>
              <wp:cNvGraphicFramePr/>
              <a:graphic xmlns:a="http://schemas.openxmlformats.org/drawingml/2006/main">
                <a:graphicData uri="http://schemas.microsoft.com/office/word/2010/wordprocessingShape">
                  <wps:wsp>
                    <wps:cNvSpPr/>
                    <wps:spPr>
                      <a:xfrm>
                        <a:off x="0" y="0"/>
                        <a:ext cx="434340" cy="1211580"/>
                      </a:xfrm>
                      <a:prstGeom prst="rect">
                        <a:avLst/>
                      </a:prstGeom>
                      <a:solidFill>
                        <a:srgbClr val="0087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0ECE" id="Rectangle 5" o:spid="_x0000_s1026" style="position:absolute;margin-left:-2pt;margin-top:41.7pt;width:34.2pt;height:95.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" fillcolor="#0087c0" stroked="f" strokeweight="1pt">
              <w10:wrap anchorx="page"/>
            </v:rect>
          </w:pict>
        </mc:Fallback>
      </mc:AlternateContent>
    </w:r>
    <w:r w:rsidR="00AE1670" w:rsidRPr="008269CC">
      <w:rPr>
        <w:noProof/>
      </w:rPr>
      <mc:AlternateContent>
        <mc:Choice Requires="wps">
          <w:drawing>
            <wp:anchor distT="0" distB="0" distL="114300" distR="114300" simplePos="0" relativeHeight="251665408" behindDoc="1" locked="0" layoutInCell="1" allowOverlap="1" wp14:anchorId="72733F68" wp14:editId="4A54650D">
              <wp:simplePos x="0" y="0"/>
              <wp:positionH relativeFrom="page">
                <wp:posOffset>-22860</wp:posOffset>
              </wp:positionH>
              <wp:positionV relativeFrom="paragraph">
                <wp:posOffset>-293370</wp:posOffset>
              </wp:positionV>
              <wp:extent cx="7132320" cy="1348740"/>
              <wp:effectExtent l="0" t="0" r="0" b="3810"/>
              <wp:wrapNone/>
              <wp:docPr id="1" name="Rectangle 1"/>
              <wp:cNvGraphicFramePr/>
              <a:graphic xmlns:a="http://schemas.openxmlformats.org/drawingml/2006/main">
                <a:graphicData uri="http://schemas.microsoft.com/office/word/2010/wordprocessingShape">
                  <wps:wsp>
                    <wps:cNvSpPr/>
                    <wps:spPr>
                      <a:xfrm>
                        <a:off x="0" y="0"/>
                        <a:ext cx="7132320" cy="1348740"/>
                      </a:xfrm>
                      <a:prstGeom prst="rect">
                        <a:avLst/>
                      </a:prstGeom>
                      <a:solidFill>
                        <a:srgbClr val="0042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A5BA7" id="Rectangle 1" o:spid="_x0000_s1026" style="position:absolute;margin-left:-1.8pt;margin-top:-23.1pt;width:561.6pt;height:106.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" fillcolor="#00428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3A6B20"/>
    <w:lvl w:ilvl="0">
      <w:start w:val="1"/>
      <w:numFmt w:val="lowerLetter"/>
      <w:pStyle w:val="ListNumber2"/>
      <w:lvlText w:val="%1."/>
      <w:lvlJc w:val="left"/>
      <w:pPr>
        <w:tabs>
          <w:tab w:val="num" w:pos="789"/>
        </w:tabs>
        <w:ind w:left="789" w:hanging="363"/>
      </w:pPr>
      <w:rPr>
        <w:rFonts w:hint="default"/>
      </w:rPr>
    </w:lvl>
  </w:abstractNum>
  <w:abstractNum w:abstractNumId="1" w15:restartNumberingAfterBreak="0">
    <w:nsid w:val="FFFFFF83"/>
    <w:multiLevelType w:val="singleLevel"/>
    <w:tmpl w:val="5C60606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123740"/>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FC1E4E"/>
    <w:multiLevelType w:val="hybridMultilevel"/>
    <w:tmpl w:val="291CA1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55D78A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549C2"/>
    <w:multiLevelType w:val="hybridMultilevel"/>
    <w:tmpl w:val="AA2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0C693DA4"/>
    <w:multiLevelType w:val="hybridMultilevel"/>
    <w:tmpl w:val="348AE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4B776F"/>
    <w:multiLevelType w:val="hybridMultilevel"/>
    <w:tmpl w:val="831AD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A40C0D"/>
    <w:multiLevelType w:val="hybridMultilevel"/>
    <w:tmpl w:val="22100438"/>
    <w:lvl w:ilvl="0" w:tplc="14090003">
      <w:start w:val="1"/>
      <w:numFmt w:val="bullet"/>
      <w:lvlText w:val="o"/>
      <w:lvlJc w:val="left"/>
      <w:pPr>
        <w:ind w:left="717" w:hanging="360"/>
      </w:pPr>
      <w:rPr>
        <w:rFonts w:ascii="Courier New" w:hAnsi="Courier New" w:cs="Courier New"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15:restartNumberingAfterBreak="0">
    <w:nsid w:val="19C60587"/>
    <w:multiLevelType w:val="hybridMultilevel"/>
    <w:tmpl w:val="7A50F32A"/>
    <w:lvl w:ilvl="0" w:tplc="14090001">
      <w:start w:val="1"/>
      <w:numFmt w:val="bullet"/>
      <w:lvlText w:val=""/>
      <w:lvlJc w:val="left"/>
      <w:pPr>
        <w:ind w:left="1388" w:hanging="360"/>
      </w:pPr>
      <w:rPr>
        <w:rFonts w:ascii="Symbol" w:hAnsi="Symbol" w:hint="default"/>
      </w:rPr>
    </w:lvl>
    <w:lvl w:ilvl="1" w:tplc="14090003" w:tentative="1">
      <w:start w:val="1"/>
      <w:numFmt w:val="bullet"/>
      <w:lvlText w:val="o"/>
      <w:lvlJc w:val="left"/>
      <w:pPr>
        <w:ind w:left="2108" w:hanging="360"/>
      </w:pPr>
      <w:rPr>
        <w:rFonts w:ascii="Courier New" w:hAnsi="Courier New" w:cs="Courier New" w:hint="default"/>
      </w:rPr>
    </w:lvl>
    <w:lvl w:ilvl="2" w:tplc="14090005" w:tentative="1">
      <w:start w:val="1"/>
      <w:numFmt w:val="bullet"/>
      <w:lvlText w:val=""/>
      <w:lvlJc w:val="left"/>
      <w:pPr>
        <w:ind w:left="2828" w:hanging="360"/>
      </w:pPr>
      <w:rPr>
        <w:rFonts w:ascii="Wingdings" w:hAnsi="Wingdings" w:hint="default"/>
      </w:rPr>
    </w:lvl>
    <w:lvl w:ilvl="3" w:tplc="14090001" w:tentative="1">
      <w:start w:val="1"/>
      <w:numFmt w:val="bullet"/>
      <w:lvlText w:val=""/>
      <w:lvlJc w:val="left"/>
      <w:pPr>
        <w:ind w:left="3548" w:hanging="360"/>
      </w:pPr>
      <w:rPr>
        <w:rFonts w:ascii="Symbol" w:hAnsi="Symbol" w:hint="default"/>
      </w:rPr>
    </w:lvl>
    <w:lvl w:ilvl="4" w:tplc="14090003" w:tentative="1">
      <w:start w:val="1"/>
      <w:numFmt w:val="bullet"/>
      <w:lvlText w:val="o"/>
      <w:lvlJc w:val="left"/>
      <w:pPr>
        <w:ind w:left="4268" w:hanging="360"/>
      </w:pPr>
      <w:rPr>
        <w:rFonts w:ascii="Courier New" w:hAnsi="Courier New" w:cs="Courier New" w:hint="default"/>
      </w:rPr>
    </w:lvl>
    <w:lvl w:ilvl="5" w:tplc="14090005" w:tentative="1">
      <w:start w:val="1"/>
      <w:numFmt w:val="bullet"/>
      <w:lvlText w:val=""/>
      <w:lvlJc w:val="left"/>
      <w:pPr>
        <w:ind w:left="4988" w:hanging="360"/>
      </w:pPr>
      <w:rPr>
        <w:rFonts w:ascii="Wingdings" w:hAnsi="Wingdings" w:hint="default"/>
      </w:rPr>
    </w:lvl>
    <w:lvl w:ilvl="6" w:tplc="14090001" w:tentative="1">
      <w:start w:val="1"/>
      <w:numFmt w:val="bullet"/>
      <w:lvlText w:val=""/>
      <w:lvlJc w:val="left"/>
      <w:pPr>
        <w:ind w:left="5708" w:hanging="360"/>
      </w:pPr>
      <w:rPr>
        <w:rFonts w:ascii="Symbol" w:hAnsi="Symbol" w:hint="default"/>
      </w:rPr>
    </w:lvl>
    <w:lvl w:ilvl="7" w:tplc="14090003" w:tentative="1">
      <w:start w:val="1"/>
      <w:numFmt w:val="bullet"/>
      <w:lvlText w:val="o"/>
      <w:lvlJc w:val="left"/>
      <w:pPr>
        <w:ind w:left="6428" w:hanging="360"/>
      </w:pPr>
      <w:rPr>
        <w:rFonts w:ascii="Courier New" w:hAnsi="Courier New" w:cs="Courier New" w:hint="default"/>
      </w:rPr>
    </w:lvl>
    <w:lvl w:ilvl="8" w:tplc="14090005" w:tentative="1">
      <w:start w:val="1"/>
      <w:numFmt w:val="bullet"/>
      <w:lvlText w:val=""/>
      <w:lvlJc w:val="left"/>
      <w:pPr>
        <w:ind w:left="7148" w:hanging="360"/>
      </w:pPr>
      <w:rPr>
        <w:rFonts w:ascii="Wingdings" w:hAnsi="Wingdings" w:hint="default"/>
      </w:rPr>
    </w:lvl>
  </w:abstractNum>
  <w:abstractNum w:abstractNumId="12" w15:restartNumberingAfterBreak="0">
    <w:nsid w:val="1EEF6F43"/>
    <w:multiLevelType w:val="hybridMultilevel"/>
    <w:tmpl w:val="495A6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0F5A36"/>
    <w:multiLevelType w:val="hybridMultilevel"/>
    <w:tmpl w:val="4B26479A"/>
    <w:lvl w:ilvl="0" w:tplc="14090003">
      <w:start w:val="1"/>
      <w:numFmt w:val="bullet"/>
      <w:lvlText w:val="o"/>
      <w:lvlJc w:val="left"/>
      <w:pPr>
        <w:ind w:left="1388" w:hanging="360"/>
      </w:pPr>
      <w:rPr>
        <w:rFonts w:ascii="Courier New" w:hAnsi="Courier New" w:cs="Courier New" w:hint="default"/>
      </w:rPr>
    </w:lvl>
    <w:lvl w:ilvl="1" w:tplc="14090003" w:tentative="1">
      <w:start w:val="1"/>
      <w:numFmt w:val="bullet"/>
      <w:lvlText w:val="o"/>
      <w:lvlJc w:val="left"/>
      <w:pPr>
        <w:ind w:left="2108" w:hanging="360"/>
      </w:pPr>
      <w:rPr>
        <w:rFonts w:ascii="Courier New" w:hAnsi="Courier New" w:cs="Courier New" w:hint="default"/>
      </w:rPr>
    </w:lvl>
    <w:lvl w:ilvl="2" w:tplc="14090005" w:tentative="1">
      <w:start w:val="1"/>
      <w:numFmt w:val="bullet"/>
      <w:lvlText w:val=""/>
      <w:lvlJc w:val="left"/>
      <w:pPr>
        <w:ind w:left="2828" w:hanging="360"/>
      </w:pPr>
      <w:rPr>
        <w:rFonts w:ascii="Wingdings" w:hAnsi="Wingdings" w:hint="default"/>
      </w:rPr>
    </w:lvl>
    <w:lvl w:ilvl="3" w:tplc="14090001" w:tentative="1">
      <w:start w:val="1"/>
      <w:numFmt w:val="bullet"/>
      <w:lvlText w:val=""/>
      <w:lvlJc w:val="left"/>
      <w:pPr>
        <w:ind w:left="3548" w:hanging="360"/>
      </w:pPr>
      <w:rPr>
        <w:rFonts w:ascii="Symbol" w:hAnsi="Symbol" w:hint="default"/>
      </w:rPr>
    </w:lvl>
    <w:lvl w:ilvl="4" w:tplc="14090003" w:tentative="1">
      <w:start w:val="1"/>
      <w:numFmt w:val="bullet"/>
      <w:lvlText w:val="o"/>
      <w:lvlJc w:val="left"/>
      <w:pPr>
        <w:ind w:left="4268" w:hanging="360"/>
      </w:pPr>
      <w:rPr>
        <w:rFonts w:ascii="Courier New" w:hAnsi="Courier New" w:cs="Courier New" w:hint="default"/>
      </w:rPr>
    </w:lvl>
    <w:lvl w:ilvl="5" w:tplc="14090005" w:tentative="1">
      <w:start w:val="1"/>
      <w:numFmt w:val="bullet"/>
      <w:lvlText w:val=""/>
      <w:lvlJc w:val="left"/>
      <w:pPr>
        <w:ind w:left="4988" w:hanging="360"/>
      </w:pPr>
      <w:rPr>
        <w:rFonts w:ascii="Wingdings" w:hAnsi="Wingdings" w:hint="default"/>
      </w:rPr>
    </w:lvl>
    <w:lvl w:ilvl="6" w:tplc="14090001" w:tentative="1">
      <w:start w:val="1"/>
      <w:numFmt w:val="bullet"/>
      <w:lvlText w:val=""/>
      <w:lvlJc w:val="left"/>
      <w:pPr>
        <w:ind w:left="5708" w:hanging="360"/>
      </w:pPr>
      <w:rPr>
        <w:rFonts w:ascii="Symbol" w:hAnsi="Symbol" w:hint="default"/>
      </w:rPr>
    </w:lvl>
    <w:lvl w:ilvl="7" w:tplc="14090003" w:tentative="1">
      <w:start w:val="1"/>
      <w:numFmt w:val="bullet"/>
      <w:lvlText w:val="o"/>
      <w:lvlJc w:val="left"/>
      <w:pPr>
        <w:ind w:left="6428" w:hanging="360"/>
      </w:pPr>
      <w:rPr>
        <w:rFonts w:ascii="Courier New" w:hAnsi="Courier New" w:cs="Courier New" w:hint="default"/>
      </w:rPr>
    </w:lvl>
    <w:lvl w:ilvl="8" w:tplc="14090005" w:tentative="1">
      <w:start w:val="1"/>
      <w:numFmt w:val="bullet"/>
      <w:lvlText w:val=""/>
      <w:lvlJc w:val="left"/>
      <w:pPr>
        <w:ind w:left="7148" w:hanging="360"/>
      </w:pPr>
      <w:rPr>
        <w:rFonts w:ascii="Wingdings" w:hAnsi="Wingdings" w:hint="default"/>
      </w:rPr>
    </w:lvl>
  </w:abstractNum>
  <w:abstractNum w:abstractNumId="14"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1960D1"/>
    <w:multiLevelType w:val="hybridMultilevel"/>
    <w:tmpl w:val="FEE64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AB3B7F"/>
    <w:multiLevelType w:val="hybridMultilevel"/>
    <w:tmpl w:val="83328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8B1A39"/>
    <w:multiLevelType w:val="hybridMultilevel"/>
    <w:tmpl w:val="DA801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501D66"/>
    <w:multiLevelType w:val="hybridMultilevel"/>
    <w:tmpl w:val="2B1E7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B254B2"/>
    <w:multiLevelType w:val="hybridMultilevel"/>
    <w:tmpl w:val="E9F896E4"/>
    <w:lvl w:ilvl="0" w:tplc="2AEC02E2">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0" w15:restartNumberingAfterBreak="0">
    <w:nsid w:val="4F5830DD"/>
    <w:multiLevelType w:val="hybridMultilevel"/>
    <w:tmpl w:val="A6048B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F75AD6"/>
    <w:multiLevelType w:val="hybridMultilevel"/>
    <w:tmpl w:val="34540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506AF8"/>
    <w:multiLevelType w:val="hybridMultilevel"/>
    <w:tmpl w:val="C066A908"/>
    <w:lvl w:ilvl="0" w:tplc="97366240">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3" w15:restartNumberingAfterBreak="0">
    <w:nsid w:val="60B67F8D"/>
    <w:multiLevelType w:val="hybridMultilevel"/>
    <w:tmpl w:val="A11A151C"/>
    <w:lvl w:ilvl="0" w:tplc="6278EC30">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4" w15:restartNumberingAfterBreak="0">
    <w:nsid w:val="68D20ECD"/>
    <w:multiLevelType w:val="hybridMultilevel"/>
    <w:tmpl w:val="84D0C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3146D8"/>
    <w:multiLevelType w:val="multilevel"/>
    <w:tmpl w:val="B4B06576"/>
    <w:name w:val="MOJList"/>
    <w:lvl w:ilvl="0">
      <w:start w:val="1"/>
      <w:numFmt w:val="decimal"/>
      <w:pStyle w:val="MOJNumPara"/>
      <w:isLgl/>
      <w:lvlText w:val="%1."/>
      <w:lvlJc w:val="left"/>
      <w:pPr>
        <w:tabs>
          <w:tab w:val="num" w:pos="709"/>
        </w:tabs>
        <w:ind w:left="709" w:hanging="709"/>
      </w:pPr>
      <w:rPr>
        <w:rFonts w:hint="default"/>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9"/>
  </w:num>
  <w:num w:numId="2">
    <w:abstractNumId w:val="22"/>
  </w:num>
  <w:num w:numId="3">
    <w:abstractNumId w:val="23"/>
  </w:num>
  <w:num w:numId="4">
    <w:abstractNumId w:val="20"/>
  </w:num>
  <w:num w:numId="5">
    <w:abstractNumId w:val="4"/>
  </w:num>
  <w:num w:numId="6">
    <w:abstractNumId w:val="17"/>
  </w:num>
  <w:num w:numId="7">
    <w:abstractNumId w:val="7"/>
  </w:num>
  <w:num w:numId="8">
    <w:abstractNumId w:val="1"/>
  </w:num>
  <w:num w:numId="9">
    <w:abstractNumId w:val="2"/>
  </w:num>
  <w:num w:numId="10">
    <w:abstractNumId w:val="0"/>
  </w:num>
  <w:num w:numId="11">
    <w:abstractNumId w:val="14"/>
  </w:num>
  <w:num w:numId="12">
    <w:abstractNumId w:val="25"/>
  </w:num>
  <w:num w:numId="13">
    <w:abstractNumId w:val="6"/>
  </w:num>
  <w:num w:numId="14">
    <w:abstractNumId w:val="3"/>
  </w:num>
  <w:num w:numId="15">
    <w:abstractNumId w:val="10"/>
  </w:num>
  <w:num w:numId="16">
    <w:abstractNumId w:val="5"/>
  </w:num>
  <w:num w:numId="17">
    <w:abstractNumId w:val="11"/>
  </w:num>
  <w:num w:numId="18">
    <w:abstractNumId w:val="9"/>
  </w:num>
  <w:num w:numId="19">
    <w:abstractNumId w:val="15"/>
  </w:num>
  <w:num w:numId="20">
    <w:abstractNumId w:val="18"/>
  </w:num>
  <w:num w:numId="21">
    <w:abstractNumId w:val="21"/>
  </w:num>
  <w:num w:numId="22">
    <w:abstractNumId w:val="12"/>
  </w:num>
  <w:num w:numId="23">
    <w:abstractNumId w:val="24"/>
  </w:num>
  <w:num w:numId="24">
    <w:abstractNumId w:val="16"/>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05"/>
    <w:rsid w:val="00006E18"/>
    <w:rsid w:val="00015B92"/>
    <w:rsid w:val="00033E0C"/>
    <w:rsid w:val="0005794F"/>
    <w:rsid w:val="00060200"/>
    <w:rsid w:val="0007495F"/>
    <w:rsid w:val="00094639"/>
    <w:rsid w:val="000A1526"/>
    <w:rsid w:val="000A4C06"/>
    <w:rsid w:val="000B0EBE"/>
    <w:rsid w:val="000C0E18"/>
    <w:rsid w:val="000C6EA6"/>
    <w:rsid w:val="000F3150"/>
    <w:rsid w:val="000F4B38"/>
    <w:rsid w:val="000F5FA9"/>
    <w:rsid w:val="00106DD5"/>
    <w:rsid w:val="00107B8D"/>
    <w:rsid w:val="00131486"/>
    <w:rsid w:val="00141CAC"/>
    <w:rsid w:val="00191C2A"/>
    <w:rsid w:val="0019656F"/>
    <w:rsid w:val="001A5F2C"/>
    <w:rsid w:val="001D151B"/>
    <w:rsid w:val="001E18F7"/>
    <w:rsid w:val="001E2947"/>
    <w:rsid w:val="00220100"/>
    <w:rsid w:val="00237FE9"/>
    <w:rsid w:val="002646E8"/>
    <w:rsid w:val="00264C21"/>
    <w:rsid w:val="00265934"/>
    <w:rsid w:val="00270995"/>
    <w:rsid w:val="0028569C"/>
    <w:rsid w:val="00297F9A"/>
    <w:rsid w:val="002A3C81"/>
    <w:rsid w:val="00303620"/>
    <w:rsid w:val="00332364"/>
    <w:rsid w:val="00345BD9"/>
    <w:rsid w:val="00355373"/>
    <w:rsid w:val="00371570"/>
    <w:rsid w:val="00435E05"/>
    <w:rsid w:val="00444BCB"/>
    <w:rsid w:val="004707B9"/>
    <w:rsid w:val="00494BB1"/>
    <w:rsid w:val="004974EC"/>
    <w:rsid w:val="00497C96"/>
    <w:rsid w:val="004A0844"/>
    <w:rsid w:val="004C0CC1"/>
    <w:rsid w:val="004C5D94"/>
    <w:rsid w:val="004D1E03"/>
    <w:rsid w:val="004E606D"/>
    <w:rsid w:val="00501913"/>
    <w:rsid w:val="00512662"/>
    <w:rsid w:val="00550400"/>
    <w:rsid w:val="00561898"/>
    <w:rsid w:val="00580F29"/>
    <w:rsid w:val="005A7474"/>
    <w:rsid w:val="005B6621"/>
    <w:rsid w:val="005B7D35"/>
    <w:rsid w:val="005C23BA"/>
    <w:rsid w:val="005C302E"/>
    <w:rsid w:val="005D2903"/>
    <w:rsid w:val="005E38F0"/>
    <w:rsid w:val="005E59FD"/>
    <w:rsid w:val="005F0EAC"/>
    <w:rsid w:val="005F7204"/>
    <w:rsid w:val="00604648"/>
    <w:rsid w:val="006572A0"/>
    <w:rsid w:val="00676AD7"/>
    <w:rsid w:val="00677954"/>
    <w:rsid w:val="00693550"/>
    <w:rsid w:val="006E7B8B"/>
    <w:rsid w:val="006F3486"/>
    <w:rsid w:val="0072187B"/>
    <w:rsid w:val="00751553"/>
    <w:rsid w:val="00780FFD"/>
    <w:rsid w:val="007912A9"/>
    <w:rsid w:val="0079245B"/>
    <w:rsid w:val="007B2492"/>
    <w:rsid w:val="007C3B3D"/>
    <w:rsid w:val="007D623F"/>
    <w:rsid w:val="007D649F"/>
    <w:rsid w:val="007E1AF6"/>
    <w:rsid w:val="007E3F6D"/>
    <w:rsid w:val="00800465"/>
    <w:rsid w:val="008269CC"/>
    <w:rsid w:val="008446B4"/>
    <w:rsid w:val="00844E2C"/>
    <w:rsid w:val="00844E3D"/>
    <w:rsid w:val="00854FC0"/>
    <w:rsid w:val="00857669"/>
    <w:rsid w:val="008A075E"/>
    <w:rsid w:val="008A38ED"/>
    <w:rsid w:val="008B0CD1"/>
    <w:rsid w:val="008F4DC0"/>
    <w:rsid w:val="00920C78"/>
    <w:rsid w:val="009210F2"/>
    <w:rsid w:val="00931FBA"/>
    <w:rsid w:val="00935FD6"/>
    <w:rsid w:val="00964454"/>
    <w:rsid w:val="009714B9"/>
    <w:rsid w:val="00971B08"/>
    <w:rsid w:val="00977E3E"/>
    <w:rsid w:val="00991831"/>
    <w:rsid w:val="00995A74"/>
    <w:rsid w:val="009972AA"/>
    <w:rsid w:val="009A3DA8"/>
    <w:rsid w:val="009A426F"/>
    <w:rsid w:val="009A64D3"/>
    <w:rsid w:val="009C7B47"/>
    <w:rsid w:val="00A12ED2"/>
    <w:rsid w:val="00A178B9"/>
    <w:rsid w:val="00A2665A"/>
    <w:rsid w:val="00A32D4F"/>
    <w:rsid w:val="00A37568"/>
    <w:rsid w:val="00A478F5"/>
    <w:rsid w:val="00A64C97"/>
    <w:rsid w:val="00A727E2"/>
    <w:rsid w:val="00A97105"/>
    <w:rsid w:val="00AB7751"/>
    <w:rsid w:val="00AD0501"/>
    <w:rsid w:val="00AE1670"/>
    <w:rsid w:val="00AE6774"/>
    <w:rsid w:val="00AF4350"/>
    <w:rsid w:val="00B01DDD"/>
    <w:rsid w:val="00B06EF3"/>
    <w:rsid w:val="00B35815"/>
    <w:rsid w:val="00B4470D"/>
    <w:rsid w:val="00B52CA1"/>
    <w:rsid w:val="00B74502"/>
    <w:rsid w:val="00BA7C41"/>
    <w:rsid w:val="00BD0B2C"/>
    <w:rsid w:val="00BD1065"/>
    <w:rsid w:val="00BD1D13"/>
    <w:rsid w:val="00BF7A10"/>
    <w:rsid w:val="00C177A9"/>
    <w:rsid w:val="00C34B2B"/>
    <w:rsid w:val="00C47758"/>
    <w:rsid w:val="00C55B1A"/>
    <w:rsid w:val="00C57980"/>
    <w:rsid w:val="00C631F3"/>
    <w:rsid w:val="00C9523B"/>
    <w:rsid w:val="00C95C6A"/>
    <w:rsid w:val="00C97253"/>
    <w:rsid w:val="00CA1682"/>
    <w:rsid w:val="00CA7BF7"/>
    <w:rsid w:val="00CC3BF2"/>
    <w:rsid w:val="00D07CB3"/>
    <w:rsid w:val="00D34D6F"/>
    <w:rsid w:val="00D44E8F"/>
    <w:rsid w:val="00D55E3A"/>
    <w:rsid w:val="00D814EB"/>
    <w:rsid w:val="00D83DFA"/>
    <w:rsid w:val="00D934A1"/>
    <w:rsid w:val="00DD089F"/>
    <w:rsid w:val="00DD784B"/>
    <w:rsid w:val="00DF0F5A"/>
    <w:rsid w:val="00E02DEA"/>
    <w:rsid w:val="00E264C3"/>
    <w:rsid w:val="00E53BA9"/>
    <w:rsid w:val="00E641FF"/>
    <w:rsid w:val="00EC08AA"/>
    <w:rsid w:val="00EF444A"/>
    <w:rsid w:val="00F03958"/>
    <w:rsid w:val="00F041BA"/>
    <w:rsid w:val="00F152F1"/>
    <w:rsid w:val="00F525B4"/>
    <w:rsid w:val="00F57D97"/>
    <w:rsid w:val="00F6090E"/>
    <w:rsid w:val="00F60CD0"/>
    <w:rsid w:val="00F625B9"/>
    <w:rsid w:val="00F81533"/>
    <w:rsid w:val="00F9640B"/>
    <w:rsid w:val="00FA1D12"/>
    <w:rsid w:val="00FC168F"/>
    <w:rsid w:val="00FC5B1E"/>
    <w:rsid w:val="00FD6483"/>
    <w:rsid w:val="00FE22D8"/>
    <w:rsid w:val="00FF6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176B5A"/>
  <w15:chartTrackingRefBased/>
  <w15:docId w15:val="{72307D27-D408-4A32-AE41-B26689A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A6"/>
    <w:rPr>
      <w:rFonts w:ascii="Arial" w:hAnsi="Arial"/>
    </w:rPr>
  </w:style>
  <w:style w:type="paragraph" w:styleId="Heading1">
    <w:name w:val="heading 1"/>
    <w:next w:val="BodyText"/>
    <w:link w:val="Heading1Char"/>
    <w:uiPriority w:val="9"/>
    <w:qFormat/>
    <w:rsid w:val="00A727E2"/>
    <w:pPr>
      <w:keepNext/>
      <w:keepLines/>
      <w:pBdr>
        <w:top w:val="single" w:sz="18" w:space="10" w:color="008CC3"/>
      </w:pBdr>
      <w:suppressAutoHyphens/>
      <w:spacing w:before="440" w:after="240" w:line="400" w:lineRule="exact"/>
      <w:outlineLvl w:val="0"/>
    </w:pPr>
    <w:rPr>
      <w:rFonts w:ascii="Arial Black" w:eastAsia="Times New Roman" w:hAnsi="Arial Black" w:cs="Times New Roman"/>
      <w:b/>
      <w:bCs/>
      <w:i/>
      <w:color w:val="008CC3"/>
      <w:sz w:val="4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58"/>
  </w:style>
  <w:style w:type="paragraph" w:styleId="Footer">
    <w:name w:val="footer"/>
    <w:basedOn w:val="Normal"/>
    <w:link w:val="FooterChar"/>
    <w:uiPriority w:val="99"/>
    <w:unhideWhenUsed/>
    <w:rsid w:val="00F03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58"/>
  </w:style>
  <w:style w:type="paragraph" w:customStyle="1" w:styleId="Factsheetheading">
    <w:name w:val="Factsheet heading"/>
    <w:basedOn w:val="Normal"/>
    <w:link w:val="FactsheetheadingChar"/>
    <w:qFormat/>
    <w:rsid w:val="00F041BA"/>
    <w:pPr>
      <w:ind w:left="-170"/>
    </w:pPr>
    <w:rPr>
      <w:b/>
      <w:color w:val="FFFFFF" w:themeColor="background1"/>
      <w:sz w:val="56"/>
    </w:rPr>
  </w:style>
  <w:style w:type="paragraph" w:customStyle="1" w:styleId="Factsheetsubheading">
    <w:name w:val="Factsheet subheading"/>
    <w:basedOn w:val="Normal"/>
    <w:link w:val="FactsheetsubheadingChar"/>
    <w:qFormat/>
    <w:rsid w:val="00F041BA"/>
    <w:pPr>
      <w:ind w:left="-170"/>
    </w:pPr>
    <w:rPr>
      <w:color w:val="FFFFFF" w:themeColor="background1"/>
      <w:sz w:val="32"/>
    </w:rPr>
  </w:style>
  <w:style w:type="character" w:customStyle="1" w:styleId="FactsheetheadingChar">
    <w:name w:val="Factsheet heading Char"/>
    <w:basedOn w:val="DefaultParagraphFont"/>
    <w:link w:val="Factsheetheading"/>
    <w:rsid w:val="00F041BA"/>
    <w:rPr>
      <w:rFonts w:ascii="Arial" w:hAnsi="Arial"/>
      <w:b/>
      <w:color w:val="FFFFFF" w:themeColor="background1"/>
      <w:sz w:val="56"/>
    </w:rPr>
  </w:style>
  <w:style w:type="paragraph" w:customStyle="1" w:styleId="FactsheetContentHeading">
    <w:name w:val="Factsheet Content Heading"/>
    <w:basedOn w:val="Normal"/>
    <w:link w:val="FactsheetContentHeadingChar"/>
    <w:qFormat/>
    <w:rsid w:val="0019656F"/>
    <w:pPr>
      <w:spacing w:before="240"/>
    </w:pPr>
    <w:rPr>
      <w:b/>
      <w:color w:val="000000" w:themeColor="text1"/>
      <w:sz w:val="24"/>
    </w:rPr>
  </w:style>
  <w:style w:type="character" w:customStyle="1" w:styleId="FactsheetsubheadingChar">
    <w:name w:val="Factsheet subheading Char"/>
    <w:basedOn w:val="FactsheetheadingChar"/>
    <w:link w:val="Factsheetsubheading"/>
    <w:rsid w:val="00F041BA"/>
    <w:rPr>
      <w:rFonts w:ascii="Arial" w:hAnsi="Arial"/>
      <w:b w:val="0"/>
      <w:color w:val="FFFFFF" w:themeColor="background1"/>
      <w:sz w:val="32"/>
    </w:rPr>
  </w:style>
  <w:style w:type="paragraph" w:customStyle="1" w:styleId="FactsheetBodyText">
    <w:name w:val="Factsheet Body Text"/>
    <w:basedOn w:val="FactsheetContentHeading"/>
    <w:link w:val="FactsheetBodyTextChar"/>
    <w:qFormat/>
    <w:rsid w:val="00191C2A"/>
    <w:pPr>
      <w:spacing w:before="180" w:after="180" w:line="300" w:lineRule="atLeast"/>
    </w:pPr>
    <w:rPr>
      <w:b w:val="0"/>
      <w:sz w:val="20"/>
    </w:rPr>
  </w:style>
  <w:style w:type="character" w:customStyle="1" w:styleId="FactsheetContentHeadingChar">
    <w:name w:val="Factsheet Content Heading Char"/>
    <w:basedOn w:val="DefaultParagraphFont"/>
    <w:link w:val="FactsheetContentHeading"/>
    <w:rsid w:val="0019656F"/>
    <w:rPr>
      <w:rFonts w:ascii="Arial" w:hAnsi="Arial"/>
      <w:b/>
      <w:color w:val="000000" w:themeColor="text1"/>
      <w:sz w:val="24"/>
    </w:rPr>
  </w:style>
  <w:style w:type="paragraph" w:customStyle="1" w:styleId="ContentHeadingwithLineBreak">
    <w:name w:val="Content Heading with Line Break"/>
    <w:basedOn w:val="FactsheetContentHeading"/>
    <w:link w:val="ContentHeadingwithLineBreakChar"/>
    <w:qFormat/>
    <w:rsid w:val="00C631F3"/>
    <w:pPr>
      <w:pBdr>
        <w:top w:val="single" w:sz="24" w:space="13" w:color="24305F"/>
      </w:pBdr>
      <w:spacing w:before="360"/>
    </w:pPr>
  </w:style>
  <w:style w:type="character" w:customStyle="1" w:styleId="FactsheetBodyTextChar">
    <w:name w:val="Factsheet Body Text Char"/>
    <w:basedOn w:val="FactsheetContentHeadingChar"/>
    <w:link w:val="FactsheetBodyText"/>
    <w:rsid w:val="00191C2A"/>
    <w:rPr>
      <w:rFonts w:ascii="Arial" w:hAnsi="Arial"/>
      <w:b w:val="0"/>
      <w:color w:val="000000" w:themeColor="text1"/>
      <w:sz w:val="20"/>
    </w:rPr>
  </w:style>
  <w:style w:type="character" w:customStyle="1" w:styleId="ContentHeadingwithLineBreakChar">
    <w:name w:val="Content Heading with Line Break Char"/>
    <w:basedOn w:val="FactsheetContentHeadingChar"/>
    <w:link w:val="ContentHeadingwithLineBreak"/>
    <w:rsid w:val="00C631F3"/>
    <w:rPr>
      <w:rFonts w:ascii="Arial" w:hAnsi="Arial"/>
      <w:b/>
      <w:color w:val="000000" w:themeColor="text1"/>
      <w:sz w:val="24"/>
    </w:rPr>
  </w:style>
  <w:style w:type="paragraph" w:customStyle="1" w:styleId="MOJContentHeading">
    <w:name w:val="MOJ Content Heading"/>
    <w:basedOn w:val="Normal"/>
    <w:link w:val="MOJContentHeadingChar"/>
    <w:rsid w:val="00A478F5"/>
    <w:rPr>
      <w:b/>
      <w:color w:val="000000" w:themeColor="text1"/>
      <w:sz w:val="24"/>
    </w:rPr>
  </w:style>
  <w:style w:type="character" w:customStyle="1" w:styleId="MOJContentHeadingChar">
    <w:name w:val="MOJ Content Heading Char"/>
    <w:basedOn w:val="DefaultParagraphFont"/>
    <w:link w:val="MOJContentHeading"/>
    <w:rsid w:val="00A478F5"/>
    <w:rPr>
      <w:rFonts w:ascii="Arial" w:hAnsi="Arial"/>
      <w:b/>
      <w:color w:val="000000" w:themeColor="text1"/>
      <w:sz w:val="24"/>
    </w:rPr>
  </w:style>
  <w:style w:type="paragraph" w:customStyle="1" w:styleId="MOJBodyText">
    <w:name w:val="MOJ Body Text"/>
    <w:basedOn w:val="MOJContentHeading"/>
    <w:link w:val="MOJBodyTextChar"/>
    <w:rsid w:val="00497C96"/>
    <w:pPr>
      <w:spacing w:after="360"/>
    </w:pPr>
    <w:rPr>
      <w:b w:val="0"/>
      <w:sz w:val="20"/>
    </w:rPr>
  </w:style>
  <w:style w:type="character" w:customStyle="1" w:styleId="MOJBodyTextChar">
    <w:name w:val="MOJ Body Text Char"/>
    <w:basedOn w:val="MOJContentHeadingChar"/>
    <w:link w:val="MOJBodyText"/>
    <w:rsid w:val="00497C96"/>
    <w:rPr>
      <w:rFonts w:ascii="Arial" w:hAnsi="Arial"/>
      <w:b w:val="0"/>
      <w:color w:val="000000" w:themeColor="text1"/>
      <w:sz w:val="20"/>
    </w:rPr>
  </w:style>
  <w:style w:type="paragraph" w:customStyle="1" w:styleId="ImportantPoints">
    <w:name w:val="Important Points"/>
    <w:basedOn w:val="MOJBodyText"/>
    <w:link w:val="ImportantPointsChar"/>
    <w:qFormat/>
    <w:rsid w:val="00857669"/>
    <w:pPr>
      <w:spacing w:before="60" w:after="180" w:line="240" w:lineRule="auto"/>
      <w:ind w:left="284"/>
    </w:pPr>
    <w:rPr>
      <w:b/>
      <w:color w:val="24305F"/>
      <w:sz w:val="40"/>
      <w:szCs w:val="72"/>
      <w14:textOutline w14:w="0" w14:cap="flat" w14:cmpd="sng" w14:algn="ctr">
        <w14:noFill/>
        <w14:prstDash w14:val="solid"/>
        <w14:round/>
      </w14:textOutline>
    </w:rPr>
  </w:style>
  <w:style w:type="character" w:customStyle="1" w:styleId="ImportantPointsChar">
    <w:name w:val="Important Points Char"/>
    <w:basedOn w:val="MOJBodyTextChar"/>
    <w:link w:val="ImportantPoints"/>
    <w:rsid w:val="00857669"/>
    <w:rPr>
      <w:rFonts w:ascii="Arial" w:hAnsi="Arial"/>
      <w:b/>
      <w:color w:val="24305F"/>
      <w:sz w:val="40"/>
      <w:szCs w:val="72"/>
      <w14:textOutline w14:w="0" w14:cap="flat" w14:cmpd="sng" w14:algn="ctr">
        <w14:noFill/>
        <w14:prstDash w14:val="solid"/>
        <w14:round/>
      </w14:textOutline>
    </w:rPr>
  </w:style>
  <w:style w:type="paragraph" w:styleId="BalloonText">
    <w:name w:val="Balloon Text"/>
    <w:basedOn w:val="Normal"/>
    <w:link w:val="BalloonTextChar"/>
    <w:uiPriority w:val="99"/>
    <w:semiHidden/>
    <w:unhideWhenUsed/>
    <w:rsid w:val="008A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ED"/>
    <w:rPr>
      <w:rFonts w:ascii="Segoe UI" w:hAnsi="Segoe UI" w:cs="Segoe UI"/>
      <w:sz w:val="18"/>
      <w:szCs w:val="18"/>
    </w:rPr>
  </w:style>
  <w:style w:type="character" w:styleId="Hyperlink">
    <w:name w:val="Hyperlink"/>
    <w:basedOn w:val="DefaultParagraphFont"/>
    <w:uiPriority w:val="99"/>
    <w:unhideWhenUsed/>
    <w:rsid w:val="001E18F7"/>
    <w:rPr>
      <w:color w:val="0563C1" w:themeColor="hyperlink"/>
      <w:u w:val="single"/>
    </w:rPr>
  </w:style>
  <w:style w:type="character" w:styleId="UnresolvedMention">
    <w:name w:val="Unresolved Mention"/>
    <w:basedOn w:val="DefaultParagraphFont"/>
    <w:uiPriority w:val="99"/>
    <w:semiHidden/>
    <w:unhideWhenUsed/>
    <w:rsid w:val="001E18F7"/>
    <w:rPr>
      <w:color w:val="808080"/>
      <w:shd w:val="clear" w:color="auto" w:fill="E6E6E6"/>
    </w:rPr>
  </w:style>
  <w:style w:type="paragraph" w:styleId="ListBullet">
    <w:name w:val="List Bullet"/>
    <w:uiPriority w:val="2"/>
    <w:qFormat/>
    <w:rsid w:val="00237FE9"/>
    <w:pPr>
      <w:numPr>
        <w:numId w:val="7"/>
      </w:numPr>
      <w:spacing w:after="120" w:line="300" w:lineRule="atLeast"/>
    </w:pPr>
    <w:rPr>
      <w:rFonts w:ascii="Arial" w:eastAsia="Calibri" w:hAnsi="Arial" w:cs="Times New Roman"/>
      <w:color w:val="000000" w:themeColor="text1"/>
      <w:sz w:val="20"/>
    </w:rPr>
  </w:style>
  <w:style w:type="paragraph" w:styleId="ListBullet3">
    <w:name w:val="List Bullet 3"/>
    <w:basedOn w:val="Normal"/>
    <w:uiPriority w:val="99"/>
    <w:qFormat/>
    <w:rsid w:val="007D649F"/>
    <w:pPr>
      <w:numPr>
        <w:ilvl w:val="2"/>
        <w:numId w:val="7"/>
      </w:numPr>
      <w:spacing w:before="60" w:after="0" w:line="300" w:lineRule="atLeast"/>
    </w:pPr>
    <w:rPr>
      <w:rFonts w:eastAsia="Calibri" w:cs="Times New Roman"/>
      <w:color w:val="000000" w:themeColor="text1"/>
      <w:sz w:val="20"/>
    </w:rPr>
  </w:style>
  <w:style w:type="paragraph" w:styleId="ListBullet2">
    <w:name w:val="List Bullet 2"/>
    <w:basedOn w:val="Normal"/>
    <w:uiPriority w:val="99"/>
    <w:semiHidden/>
    <w:unhideWhenUsed/>
    <w:rsid w:val="008A075E"/>
    <w:pPr>
      <w:numPr>
        <w:numId w:val="8"/>
      </w:numPr>
      <w:contextualSpacing/>
    </w:pPr>
  </w:style>
  <w:style w:type="paragraph" w:styleId="BodyText">
    <w:name w:val="Body Text"/>
    <w:basedOn w:val="Normal"/>
    <w:link w:val="BodyTextChar"/>
    <w:qFormat/>
    <w:rsid w:val="008A075E"/>
    <w:pPr>
      <w:spacing w:before="180" w:after="0" w:line="300" w:lineRule="atLeast"/>
    </w:pPr>
    <w:rPr>
      <w:rFonts w:eastAsia="Calibri" w:cs="Times New Roman"/>
      <w:color w:val="575757"/>
    </w:rPr>
  </w:style>
  <w:style w:type="character" w:customStyle="1" w:styleId="BodyTextChar">
    <w:name w:val="Body Text Char"/>
    <w:basedOn w:val="DefaultParagraphFont"/>
    <w:link w:val="BodyText"/>
    <w:rsid w:val="008A075E"/>
    <w:rPr>
      <w:rFonts w:ascii="Arial" w:eastAsia="Calibri" w:hAnsi="Arial" w:cs="Times New Roman"/>
      <w:color w:val="575757"/>
    </w:rPr>
  </w:style>
  <w:style w:type="paragraph" w:styleId="ListNumber">
    <w:name w:val="List Number"/>
    <w:uiPriority w:val="99"/>
    <w:qFormat/>
    <w:rsid w:val="0019656F"/>
    <w:pPr>
      <w:numPr>
        <w:numId w:val="9"/>
      </w:numPr>
      <w:spacing w:after="120" w:line="22" w:lineRule="atLeast"/>
      <w:ind w:left="357" w:hanging="357"/>
    </w:pPr>
    <w:rPr>
      <w:rFonts w:ascii="Arial" w:eastAsia="Calibri" w:hAnsi="Arial" w:cs="Times New Roman"/>
      <w:color w:val="000000" w:themeColor="text1"/>
      <w:sz w:val="20"/>
    </w:rPr>
  </w:style>
  <w:style w:type="paragraph" w:styleId="ListNumber2">
    <w:name w:val="List Number 2"/>
    <w:uiPriority w:val="2"/>
    <w:qFormat/>
    <w:rsid w:val="00237FE9"/>
    <w:pPr>
      <w:numPr>
        <w:numId w:val="10"/>
      </w:numPr>
      <w:spacing w:before="60" w:after="60" w:line="300" w:lineRule="atLeast"/>
      <w:ind w:left="714" w:hanging="357"/>
    </w:pPr>
    <w:rPr>
      <w:rFonts w:ascii="Arial" w:eastAsia="Calibri" w:hAnsi="Arial" w:cs="Times New Roman"/>
      <w:color w:val="000000" w:themeColor="text1"/>
      <w:sz w:val="20"/>
    </w:rPr>
  </w:style>
  <w:style w:type="paragraph" w:styleId="ListNumber3">
    <w:name w:val="List Number 3"/>
    <w:uiPriority w:val="2"/>
    <w:qFormat/>
    <w:rsid w:val="00237FE9"/>
    <w:pPr>
      <w:numPr>
        <w:numId w:val="11"/>
      </w:numPr>
      <w:spacing w:before="60" w:after="60" w:line="300" w:lineRule="atLeast"/>
    </w:pPr>
    <w:rPr>
      <w:rFonts w:ascii="Arial" w:eastAsia="Calibri" w:hAnsi="Arial" w:cs="Times New Roman"/>
      <w:color w:val="000000" w:themeColor="text1"/>
      <w:sz w:val="20"/>
    </w:rPr>
  </w:style>
  <w:style w:type="paragraph" w:customStyle="1" w:styleId="MOJNumPara">
    <w:name w:val="MOJ Num Para"/>
    <w:basedOn w:val="Normal"/>
    <w:link w:val="MOJNumParaChar"/>
    <w:rsid w:val="00580F29"/>
    <w:pPr>
      <w:numPr>
        <w:numId w:val="12"/>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580F29"/>
    <w:pPr>
      <w:numPr>
        <w:ilvl w:val="1"/>
      </w:numPr>
      <w:tabs>
        <w:tab w:val="clear" w:pos="1418"/>
        <w:tab w:val="num" w:pos="360"/>
      </w:tabs>
      <w:ind w:left="1440" w:hanging="360"/>
    </w:pPr>
  </w:style>
  <w:style w:type="paragraph" w:customStyle="1" w:styleId="MOJLevel3NumPara">
    <w:name w:val="MOJ Level 3 Num Para"/>
    <w:basedOn w:val="MOJLevel2NumPara"/>
    <w:rsid w:val="00580F29"/>
    <w:pPr>
      <w:numPr>
        <w:ilvl w:val="2"/>
      </w:numPr>
      <w:tabs>
        <w:tab w:val="clear" w:pos="2268"/>
        <w:tab w:val="num" w:pos="360"/>
      </w:tabs>
      <w:ind w:left="2160" w:hanging="360"/>
    </w:pPr>
  </w:style>
  <w:style w:type="paragraph" w:customStyle="1" w:styleId="MOJLevel4NumPara">
    <w:name w:val="MOJ Level 4 Num Para"/>
    <w:basedOn w:val="MOJLevel3NumPara"/>
    <w:rsid w:val="00580F29"/>
    <w:pPr>
      <w:numPr>
        <w:ilvl w:val="3"/>
      </w:numPr>
      <w:tabs>
        <w:tab w:val="clear" w:pos="3119"/>
        <w:tab w:val="num" w:pos="360"/>
      </w:tabs>
      <w:ind w:left="2880" w:hanging="360"/>
    </w:pPr>
  </w:style>
  <w:style w:type="character" w:customStyle="1" w:styleId="MOJNumParaChar">
    <w:name w:val="MOJ Num Para Char"/>
    <w:link w:val="MOJNumPara"/>
    <w:rsid w:val="00580F29"/>
    <w:rPr>
      <w:rFonts w:ascii="Calibri" w:eastAsia="Times New Roman" w:hAnsi="Calibri" w:cs="Times New Roman"/>
      <w:szCs w:val="24"/>
    </w:rPr>
  </w:style>
  <w:style w:type="character" w:styleId="SubtleEmphasis">
    <w:name w:val="Subtle Emphasis"/>
    <w:basedOn w:val="DefaultParagraphFont"/>
    <w:uiPriority w:val="19"/>
    <w:rsid w:val="00580F29"/>
    <w:rPr>
      <w:i/>
      <w:iCs/>
      <w:color w:val="000000" w:themeColor="text1"/>
    </w:rPr>
  </w:style>
  <w:style w:type="paragraph" w:styleId="IntenseQuote">
    <w:name w:val="Intense Quote"/>
    <w:basedOn w:val="Normal"/>
    <w:next w:val="Normal"/>
    <w:link w:val="IntenseQuoteChar"/>
    <w:uiPriority w:val="30"/>
    <w:rsid w:val="00580F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0F29"/>
    <w:rPr>
      <w:rFonts w:ascii="Arial" w:hAnsi="Arial"/>
      <w:i/>
      <w:iCs/>
      <w:color w:val="4472C4" w:themeColor="accent1"/>
    </w:rPr>
  </w:style>
  <w:style w:type="character" w:styleId="IntenseEmphasis">
    <w:name w:val="Intense Emphasis"/>
    <w:basedOn w:val="DefaultParagraphFont"/>
    <w:uiPriority w:val="21"/>
    <w:qFormat/>
    <w:rsid w:val="00C631F3"/>
    <w:rPr>
      <w:b/>
      <w:i/>
      <w:iCs/>
      <w:color w:val="263E78"/>
    </w:rPr>
  </w:style>
  <w:style w:type="paragraph" w:customStyle="1" w:styleId="Weblinkhighlighttext">
    <w:name w:val="Web link highlight text"/>
    <w:basedOn w:val="Normal"/>
    <w:link w:val="WeblinkhighlighttextChar"/>
    <w:qFormat/>
    <w:rsid w:val="009C7B47"/>
    <w:pPr>
      <w:spacing w:after="0" w:line="240" w:lineRule="auto"/>
    </w:pPr>
    <w:rPr>
      <w:b/>
      <w:color w:val="FFFFFF" w:themeColor="background1"/>
      <w:sz w:val="32"/>
    </w:rPr>
  </w:style>
  <w:style w:type="character" w:customStyle="1" w:styleId="WeblinkhighlighttextChar">
    <w:name w:val="Web link highlight text Char"/>
    <w:basedOn w:val="DefaultParagraphFont"/>
    <w:link w:val="Weblinkhighlighttext"/>
    <w:rsid w:val="009C7B47"/>
    <w:rPr>
      <w:rFonts w:ascii="Arial" w:hAnsi="Arial"/>
      <w:b/>
      <w:color w:val="FFFFFF" w:themeColor="background1"/>
      <w:sz w:val="32"/>
    </w:rPr>
  </w:style>
  <w:style w:type="paragraph" w:styleId="TOC2">
    <w:name w:val="toc 2"/>
    <w:basedOn w:val="Normal"/>
    <w:next w:val="Normal"/>
    <w:autoRedefine/>
    <w:uiPriority w:val="39"/>
    <w:unhideWhenUsed/>
    <w:rsid w:val="00A12ED2"/>
    <w:pPr>
      <w:spacing w:before="180" w:after="120" w:line="300" w:lineRule="exact"/>
      <w:ind w:left="568" w:hanging="284"/>
    </w:pPr>
    <w:rPr>
      <w:rFonts w:eastAsia="Calibri" w:cs="Times New Roman"/>
      <w:sz w:val="20"/>
    </w:rPr>
  </w:style>
  <w:style w:type="paragraph" w:customStyle="1" w:styleId="Tablebullet">
    <w:name w:val="Table bullet"/>
    <w:basedOn w:val="Normal"/>
    <w:rsid w:val="00A12ED2"/>
    <w:pPr>
      <w:numPr>
        <w:numId w:val="14"/>
      </w:numPr>
      <w:spacing w:before="90" w:after="90" w:line="300" w:lineRule="atLeast"/>
    </w:pPr>
    <w:rPr>
      <w:rFonts w:eastAsia="Calibri" w:cs="Times New Roman"/>
      <w:sz w:val="20"/>
      <w:szCs w:val="20"/>
    </w:rPr>
  </w:style>
  <w:style w:type="paragraph" w:styleId="ListParagraph">
    <w:name w:val="List Paragraph"/>
    <w:basedOn w:val="Normal"/>
    <w:uiPriority w:val="34"/>
    <w:rsid w:val="00A12ED2"/>
    <w:pPr>
      <w:spacing w:before="180" w:after="120" w:line="300" w:lineRule="atLeast"/>
      <w:ind w:left="720"/>
      <w:contextualSpacing/>
    </w:pPr>
    <w:rPr>
      <w:rFonts w:eastAsia="Calibri" w:cs="Times New Roman"/>
      <w:sz w:val="20"/>
    </w:rPr>
  </w:style>
  <w:style w:type="table" w:styleId="TableGrid">
    <w:name w:val="Table Grid"/>
    <w:basedOn w:val="TableNormal"/>
    <w:uiPriority w:val="39"/>
    <w:rsid w:val="00F6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41">
    <w:name w:val="List Bullet 41"/>
    <w:basedOn w:val="ListNumber"/>
    <w:link w:val="Listbullet4Char"/>
    <w:qFormat/>
    <w:rsid w:val="00F525B4"/>
    <w:pPr>
      <w:numPr>
        <w:numId w:val="0"/>
      </w:numPr>
      <w:tabs>
        <w:tab w:val="num" w:pos="709"/>
      </w:tabs>
      <w:ind w:left="357" w:hanging="357"/>
    </w:pPr>
    <w:rPr>
      <w:color w:val="auto"/>
    </w:rPr>
  </w:style>
  <w:style w:type="character" w:customStyle="1" w:styleId="Listbullet4Char">
    <w:name w:val="List bullet 4 Char"/>
    <w:basedOn w:val="DefaultParagraphFont"/>
    <w:link w:val="ListBullet41"/>
    <w:rsid w:val="00F525B4"/>
    <w:rPr>
      <w:rFonts w:ascii="Arial" w:eastAsia="Calibri" w:hAnsi="Arial" w:cs="Times New Roman"/>
      <w:sz w:val="20"/>
    </w:rPr>
  </w:style>
  <w:style w:type="character" w:customStyle="1" w:styleId="Heading1Char">
    <w:name w:val="Heading 1 Char"/>
    <w:basedOn w:val="DefaultParagraphFont"/>
    <w:link w:val="Heading1"/>
    <w:uiPriority w:val="9"/>
    <w:rsid w:val="00A727E2"/>
    <w:rPr>
      <w:rFonts w:ascii="Arial Black" w:eastAsia="Times New Roman" w:hAnsi="Arial Black" w:cs="Times New Roman"/>
      <w:b/>
      <w:bCs/>
      <w:i/>
      <w:color w:val="008CC3"/>
      <w:sz w:val="40"/>
      <w:szCs w:val="44"/>
    </w:rPr>
  </w:style>
  <w:style w:type="character" w:styleId="CommentReference">
    <w:name w:val="annotation reference"/>
    <w:basedOn w:val="DefaultParagraphFont"/>
    <w:uiPriority w:val="99"/>
    <w:semiHidden/>
    <w:unhideWhenUsed/>
    <w:rsid w:val="00DD089F"/>
    <w:rPr>
      <w:sz w:val="16"/>
      <w:szCs w:val="16"/>
    </w:rPr>
  </w:style>
  <w:style w:type="paragraph" w:styleId="CommentText">
    <w:name w:val="annotation text"/>
    <w:basedOn w:val="Normal"/>
    <w:link w:val="CommentTextChar"/>
    <w:uiPriority w:val="99"/>
    <w:semiHidden/>
    <w:unhideWhenUsed/>
    <w:rsid w:val="00DD089F"/>
    <w:pPr>
      <w:spacing w:line="240" w:lineRule="auto"/>
    </w:pPr>
    <w:rPr>
      <w:sz w:val="20"/>
      <w:szCs w:val="20"/>
    </w:rPr>
  </w:style>
  <w:style w:type="character" w:customStyle="1" w:styleId="CommentTextChar">
    <w:name w:val="Comment Text Char"/>
    <w:basedOn w:val="DefaultParagraphFont"/>
    <w:link w:val="CommentText"/>
    <w:uiPriority w:val="99"/>
    <w:semiHidden/>
    <w:rsid w:val="00DD08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089F"/>
    <w:rPr>
      <w:b/>
      <w:bCs/>
    </w:rPr>
  </w:style>
  <w:style w:type="character" w:customStyle="1" w:styleId="CommentSubjectChar">
    <w:name w:val="Comment Subject Char"/>
    <w:basedOn w:val="CommentTextChar"/>
    <w:link w:val="CommentSubject"/>
    <w:uiPriority w:val="99"/>
    <w:semiHidden/>
    <w:rsid w:val="00DD08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9416-2736-483C-A306-C50D7B5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Michael</dc:creator>
  <cp:keywords/>
  <dc:description/>
  <cp:lastModifiedBy>Walker, Chloe</cp:lastModifiedBy>
  <cp:revision>2</cp:revision>
  <cp:lastPrinted>2022-10-05T21:35:00Z</cp:lastPrinted>
  <dcterms:created xsi:type="dcterms:W3CDTF">2022-11-08T21:07:00Z</dcterms:created>
  <dcterms:modified xsi:type="dcterms:W3CDTF">2022-11-08T21:07:00Z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-1093652581</vt:i4>
  </property>
  <property fmtid="{D5CDD505-2E9C-101B-9397-08002B2CF9AE}" pid="3" name="_NewReviewCycle">
    <vt:lpwstr/>
  </property>
  <property fmtid="{D5CDD505-2E9C-101B-9397-08002B2CF9AE}" pid="4" name="_EmailSubject">
    <vt:lpwstr>set up citizenspace draft </vt:lpwstr>
  </property>
  <property fmtid="{D5CDD505-2E9C-101B-9397-08002B2CF9AE}" pid="5" name="_AuthorEmail">
    <vt:lpwstr>Maree.O'Regan@justice.govt.nz</vt:lpwstr>
  </property>
  <property fmtid="{D5CDD505-2E9C-101B-9397-08002B2CF9AE}" pid="6" name="_AuthorEmailDisplayName">
    <vt:lpwstr>O'Regan, Maree</vt:lpwstr>
  </property>
  <property fmtid="{D5CDD505-2E9C-101B-9397-08002B2CF9AE}" pid="7" name="_ReviewingToolsShownOnce">
    <vt:lpwstr/>
  </property>
</Properties>
</file>